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4E" w:rsidRDefault="00B6244E">
      <w:pPr>
        <w:pStyle w:val="dazhangjie"/>
        <w:ind w:left="0"/>
        <w:jc w:val="both"/>
        <w:rPr>
          <w:b/>
          <w:bCs/>
          <w:color w:val="000000"/>
        </w:rPr>
      </w:pPr>
    </w:p>
    <w:p w:rsidR="00B6244E" w:rsidRDefault="00B6244E">
      <w:pPr>
        <w:pStyle w:val="dazhangjie"/>
        <w:ind w:left="0"/>
        <w:jc w:val="both"/>
        <w:rPr>
          <w:b/>
          <w:bCs/>
          <w:color w:val="000000"/>
        </w:rPr>
      </w:pPr>
    </w:p>
    <w:p w:rsidR="00B6244E" w:rsidRDefault="00B6244E">
      <w:pPr>
        <w:pStyle w:val="dazhangjie"/>
        <w:ind w:left="0"/>
        <w:jc w:val="both"/>
        <w:rPr>
          <w:b/>
          <w:bCs/>
          <w:color w:val="000000"/>
        </w:rPr>
      </w:pPr>
    </w:p>
    <w:p w:rsidR="00B6244E" w:rsidRDefault="00667BD4">
      <w:pPr>
        <w:pStyle w:val="dazhangjie"/>
        <w:spacing w:before="240" w:after="120"/>
        <w:rPr>
          <w:rFonts w:ascii="黑体" w:eastAsia="黑体"/>
          <w:b/>
          <w:bCs/>
          <w:color w:val="000000"/>
          <w:sz w:val="36"/>
        </w:rPr>
      </w:pPr>
      <w:r>
        <w:rPr>
          <w:rFonts w:ascii="黑体" w:eastAsia="黑体" w:hint="eastAsia"/>
          <w:b/>
          <w:bCs/>
          <w:color w:val="000000"/>
          <w:sz w:val="36"/>
        </w:rPr>
        <w:t>南银理财珠联璧合理财管理计划1号公募人民币理财产品</w:t>
      </w:r>
    </w:p>
    <w:p w:rsidR="00B6244E" w:rsidRDefault="003016B4">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B6244E" w:rsidRDefault="00B6244E">
      <w:pPr>
        <w:pStyle w:val="dazhangjie"/>
        <w:spacing w:before="240" w:after="120"/>
        <w:rPr>
          <w:rFonts w:ascii="黑体" w:eastAsia="黑体" w:hAnsi="黑体"/>
          <w:b/>
          <w:bCs/>
          <w:color w:val="000000"/>
          <w:sz w:val="36"/>
        </w:rPr>
      </w:pPr>
    </w:p>
    <w:p w:rsidR="00B6244E" w:rsidRDefault="00B6244E">
      <w:pPr>
        <w:pStyle w:val="dazhangjie"/>
        <w:spacing w:before="240" w:after="120"/>
        <w:rPr>
          <w:rFonts w:ascii="黑体" w:eastAsia="黑体" w:hAnsi="黑体"/>
          <w:b/>
          <w:bCs/>
          <w:color w:val="000000"/>
          <w:sz w:val="36"/>
        </w:rPr>
      </w:pPr>
    </w:p>
    <w:p w:rsidR="00B6244E" w:rsidRDefault="00B6244E">
      <w:pPr>
        <w:pStyle w:val="dazhangjie"/>
        <w:spacing w:before="240" w:after="120"/>
        <w:rPr>
          <w:rFonts w:ascii="黑体" w:eastAsia="黑体" w:hAnsi="黑体"/>
          <w:b/>
          <w:bCs/>
          <w:color w:val="000000"/>
          <w:sz w:val="36"/>
        </w:rPr>
      </w:pPr>
    </w:p>
    <w:p w:rsidR="00B6244E" w:rsidRDefault="00B6244E">
      <w:pPr>
        <w:pStyle w:val="dazhangjie"/>
        <w:spacing w:before="240" w:after="120"/>
        <w:rPr>
          <w:rFonts w:ascii="黑体" w:eastAsia="黑体" w:hAnsi="黑体"/>
          <w:b/>
          <w:bCs/>
          <w:color w:val="000000"/>
          <w:sz w:val="36"/>
        </w:rPr>
      </w:pPr>
    </w:p>
    <w:p w:rsidR="00B6244E" w:rsidRDefault="00B6244E">
      <w:pPr>
        <w:pStyle w:val="dazhangjie"/>
        <w:spacing w:before="240" w:after="120"/>
        <w:rPr>
          <w:rFonts w:ascii="黑体" w:eastAsia="黑体" w:hAnsi="黑体"/>
          <w:b/>
          <w:bCs/>
          <w:color w:val="000000"/>
          <w:sz w:val="36"/>
        </w:rPr>
      </w:pPr>
    </w:p>
    <w:p w:rsidR="00B6244E" w:rsidRDefault="00B6244E">
      <w:pPr>
        <w:pStyle w:val="dazhangjie"/>
        <w:spacing w:before="240" w:after="120"/>
        <w:ind w:left="0"/>
        <w:jc w:val="both"/>
        <w:rPr>
          <w:rFonts w:ascii="黑体" w:eastAsia="黑体" w:hAnsi="黑体"/>
          <w:b/>
          <w:bCs/>
          <w:color w:val="000000"/>
          <w:sz w:val="36"/>
        </w:rPr>
      </w:pPr>
    </w:p>
    <w:p w:rsidR="00B6244E" w:rsidRDefault="00667BD4">
      <w:pPr>
        <w:pStyle w:val="dazhangjie"/>
        <w:spacing w:before="240" w:after="120"/>
        <w:rPr>
          <w:b/>
          <w:bCs/>
          <w:color w:val="000000"/>
        </w:rPr>
      </w:pPr>
      <w:r>
        <w:rPr>
          <w:rFonts w:hint="eastAsia"/>
          <w:b/>
          <w:bCs/>
          <w:color w:val="000000"/>
        </w:rPr>
        <w:t>产品</w:t>
      </w:r>
      <w:r>
        <w:rPr>
          <w:b/>
          <w:bCs/>
          <w:color w:val="000000"/>
        </w:rPr>
        <w:t>管理人:南银理财有限责任公司</w:t>
      </w:r>
    </w:p>
    <w:p w:rsidR="00B6244E" w:rsidRDefault="00667BD4">
      <w:pPr>
        <w:pStyle w:val="dazhangjie"/>
        <w:spacing w:before="240" w:after="120"/>
        <w:rPr>
          <w:b/>
          <w:bCs/>
          <w:color w:val="000000"/>
        </w:rPr>
      </w:pPr>
      <w:r>
        <w:rPr>
          <w:rFonts w:hint="eastAsia"/>
          <w:b/>
          <w:bCs/>
          <w:color w:val="000000"/>
        </w:rPr>
        <w:t>产品</w:t>
      </w:r>
      <w:r>
        <w:rPr>
          <w:b/>
          <w:bCs/>
          <w:color w:val="000000"/>
        </w:rPr>
        <w:t>托管人:南京银行股份有限公司</w:t>
      </w:r>
    </w:p>
    <w:p w:rsidR="00B6244E" w:rsidRDefault="00667BD4">
      <w:pPr>
        <w:widowControl/>
        <w:jc w:val="left"/>
        <w:rPr>
          <w:b/>
          <w:bCs/>
          <w:color w:val="000000"/>
        </w:rPr>
      </w:pPr>
      <w:r>
        <w:rPr>
          <w:rFonts w:hint="eastAsia"/>
          <w:b/>
          <w:bCs/>
          <w:color w:val="000000"/>
        </w:rPr>
        <w:br w:type="page"/>
      </w:r>
    </w:p>
    <w:p w:rsidR="00B6244E" w:rsidRDefault="00667BD4">
      <w:pPr>
        <w:pStyle w:val="dazhangjie"/>
        <w:rPr>
          <w:color w:val="000000"/>
        </w:rPr>
      </w:pPr>
      <w:r>
        <w:rPr>
          <w:rFonts w:hAnsi="Calibri" w:hint="eastAsia"/>
          <w:b/>
          <w:color w:val="000000"/>
        </w:rPr>
        <w:t>§1 产品概况</w:t>
      </w:r>
    </w:p>
    <w:p w:rsidR="00B6244E" w:rsidRDefault="00B6244E">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pPr>
            <w:r>
              <w:rPr>
                <w:rFonts w:hint="eastAsia"/>
              </w:rPr>
              <w:t>南银理财珠联璧合理财管理计划1号公募人民币理财产品</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pPr>
            <w:r>
              <w:rPr>
                <w:rFonts w:hint="eastAsia"/>
              </w:rPr>
              <w:t>Z7003220000003（投资者可依据该编码在中国理财网www.chinawealth.com.cn查询理财产品相关信息）</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开放式净值型</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color w:val="000000"/>
              </w:rPr>
              <w:t>2014年09月17日</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3016B4">
            <w:pPr>
              <w:pStyle w:val="biaogeleft"/>
              <w:wordWrap w:val="0"/>
            </w:pPr>
            <w:r>
              <w:t>10,530,669,164.04份</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B908BB">
            <w:pPr>
              <w:pStyle w:val="biaogeleft"/>
              <w:wordWrap w:val="0"/>
              <w:rPr>
                <w:color w:val="000000"/>
              </w:rPr>
            </w:pPr>
            <w:r>
              <w:rPr>
                <w:rFonts w:hint="eastAsia"/>
                <w:color w:val="000000"/>
              </w:rPr>
              <w:t>-</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neirong"/>
              <w:wordWrap w:val="0"/>
              <w:rPr>
                <w:color w:val="000000"/>
              </w:rPr>
            </w:pPr>
            <w:r>
              <w:rPr>
                <w:color w:val="000000"/>
              </w:rPr>
              <w:t>南银理财有限责任公司</w:t>
            </w:r>
          </w:p>
        </w:tc>
      </w:tr>
      <w:tr w:rsidR="00B6244E">
        <w:tc>
          <w:tcPr>
            <w:tcW w:w="281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left"/>
              <w:wordWrap w:val="0"/>
              <w:rPr>
                <w:color w:val="000000"/>
              </w:rPr>
            </w:pPr>
            <w:r>
              <w:rPr>
                <w:color w:val="000000"/>
              </w:rPr>
              <w:t>南京银行股份有限公司</w:t>
            </w:r>
          </w:p>
        </w:tc>
      </w:tr>
    </w:tbl>
    <w:p w:rsidR="00B6244E" w:rsidRDefault="00B6244E">
      <w:pPr>
        <w:widowControl/>
        <w:jc w:val="left"/>
        <w:rPr>
          <w:rFonts w:ascii="宋体" w:hAnsi="宋体" w:cs="宋体"/>
          <w:color w:val="000000"/>
          <w:kern w:val="0"/>
          <w:sz w:val="24"/>
          <w:szCs w:val="24"/>
        </w:rPr>
      </w:pPr>
    </w:p>
    <w:p w:rsidR="00B6244E" w:rsidRDefault="00667BD4">
      <w:pPr>
        <w:pStyle w:val="dazhangjie"/>
        <w:rPr>
          <w:color w:val="000000"/>
        </w:rPr>
      </w:pPr>
      <w:r>
        <w:rPr>
          <w:rFonts w:hAnsi="Calibri" w:hint="eastAsia"/>
          <w:b/>
          <w:color w:val="000000"/>
        </w:rPr>
        <w:t>§2  主要财务指标</w:t>
      </w:r>
    </w:p>
    <w:p w:rsidR="00B6244E" w:rsidRDefault="00667BD4">
      <w:pPr>
        <w:pStyle w:val="zhangjiep"/>
        <w:ind w:left="0"/>
        <w:rPr>
          <w:color w:val="000000"/>
        </w:rPr>
      </w:pPr>
      <w:r>
        <w:rPr>
          <w:rFonts w:hint="eastAsia"/>
          <w:b/>
          <w:bCs/>
          <w:color w:val="000000"/>
        </w:rPr>
        <w:t>2.1 主要财务指标</w:t>
      </w:r>
    </w:p>
    <w:p w:rsidR="00B6244E" w:rsidRDefault="00667BD4">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B6244E">
        <w:tc>
          <w:tcPr>
            <w:tcW w:w="4135" w:type="dxa"/>
            <w:noWrap/>
            <w:vAlign w:val="center"/>
          </w:tcPr>
          <w:p w:rsidR="00B6244E" w:rsidRDefault="00667BD4">
            <w:pPr>
              <w:pStyle w:val="a6"/>
              <w:wordWrap w:val="0"/>
              <w:jc w:val="center"/>
              <w:rPr>
                <w:b/>
                <w:bCs/>
                <w:color w:val="000000"/>
              </w:rPr>
            </w:pPr>
            <w:r>
              <w:rPr>
                <w:rFonts w:hint="eastAsia"/>
                <w:b/>
                <w:bCs/>
                <w:color w:val="000000"/>
              </w:rPr>
              <w:t>主要财务指标</w:t>
            </w:r>
          </w:p>
        </w:tc>
        <w:tc>
          <w:tcPr>
            <w:tcW w:w="5187" w:type="dxa"/>
            <w:noWrap/>
          </w:tcPr>
          <w:p w:rsidR="00B6244E" w:rsidRDefault="003016B4">
            <w:pPr>
              <w:pStyle w:val="zhangjiep"/>
              <w:jc w:val="center"/>
              <w:rPr>
                <w:b/>
                <w:bCs/>
                <w:color w:val="000000"/>
              </w:rPr>
            </w:pPr>
            <w:r>
              <w:rPr>
                <w:rFonts w:hint="eastAsia"/>
              </w:rPr>
              <w:t>报告期（</w:t>
            </w:r>
            <w:r>
              <w:t>2022年1月1日 - 2022年3月31日）</w:t>
            </w:r>
          </w:p>
        </w:tc>
      </w:tr>
      <w:tr w:rsidR="00B6244E">
        <w:tc>
          <w:tcPr>
            <w:tcW w:w="4135" w:type="dxa"/>
            <w:noWrap/>
            <w:vAlign w:val="center"/>
          </w:tcPr>
          <w:p w:rsidR="00B6244E" w:rsidRDefault="00667BD4">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B6244E" w:rsidRDefault="003016B4">
            <w:pPr>
              <w:pStyle w:val="biaogeright"/>
              <w:jc w:val="center"/>
              <w:rPr>
                <w:b/>
                <w:bCs/>
                <w:color w:val="000000"/>
              </w:rPr>
            </w:pPr>
            <w:r>
              <w:rPr>
                <w:color w:val="000000"/>
              </w:rPr>
              <w:t>10,750,041,924.93</w:t>
            </w:r>
          </w:p>
        </w:tc>
      </w:tr>
      <w:tr w:rsidR="00B6244E">
        <w:tc>
          <w:tcPr>
            <w:tcW w:w="4135" w:type="dxa"/>
            <w:noWrap/>
            <w:vAlign w:val="center"/>
          </w:tcPr>
          <w:p w:rsidR="00B6244E" w:rsidRDefault="00667BD4">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B6244E" w:rsidRDefault="003016B4">
            <w:pPr>
              <w:pStyle w:val="biaogeright"/>
              <w:jc w:val="center"/>
              <w:rPr>
                <w:b/>
                <w:bCs/>
                <w:color w:val="000000"/>
              </w:rPr>
            </w:pPr>
            <w:r>
              <w:rPr>
                <w:color w:val="000000"/>
              </w:rPr>
              <w:t>1.0208</w:t>
            </w:r>
          </w:p>
        </w:tc>
      </w:tr>
      <w:tr w:rsidR="00B6244E">
        <w:tc>
          <w:tcPr>
            <w:tcW w:w="4135" w:type="dxa"/>
            <w:noWrap/>
            <w:vAlign w:val="center"/>
          </w:tcPr>
          <w:p w:rsidR="00B6244E" w:rsidRDefault="00667BD4">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B6244E" w:rsidRDefault="003016B4">
            <w:pPr>
              <w:pStyle w:val="biaogeright"/>
              <w:jc w:val="center"/>
              <w:rPr>
                <w:b/>
                <w:bCs/>
                <w:color w:val="000000"/>
              </w:rPr>
            </w:pPr>
            <w:r>
              <w:rPr>
                <w:color w:val="000000"/>
              </w:rPr>
              <w:t>1.3552</w:t>
            </w:r>
          </w:p>
        </w:tc>
      </w:tr>
    </w:tbl>
    <w:p w:rsidR="00B6244E" w:rsidRDefault="00667BD4">
      <w:pPr>
        <w:pStyle w:val="biaogeleft"/>
        <w:ind w:left="0"/>
        <w:rPr>
          <w:color w:val="000000"/>
        </w:rPr>
      </w:pPr>
      <w:r>
        <w:rPr>
          <w:rFonts w:hint="eastAsia"/>
        </w:rPr>
        <w:t>注：产品净值可能存在未扣除管理人及投资合作机构业绩报酬、赎回费等费用（如有）的情况，实际收益以兑付为准。</w:t>
      </w:r>
    </w:p>
    <w:p w:rsidR="00B6244E" w:rsidRDefault="00B6244E">
      <w:pPr>
        <w:pStyle w:val="zhangjiep"/>
        <w:ind w:left="0"/>
        <w:rPr>
          <w:b/>
          <w:bCs/>
          <w:color w:val="000000"/>
        </w:rPr>
      </w:pPr>
    </w:p>
    <w:p w:rsidR="00B6244E" w:rsidRDefault="00B6244E">
      <w:pPr>
        <w:widowControl/>
        <w:jc w:val="left"/>
        <w:rPr>
          <w:rFonts w:ascii="宋体" w:hAnsi="宋体" w:cs="宋体"/>
          <w:color w:val="000000"/>
          <w:kern w:val="0"/>
          <w:sz w:val="24"/>
          <w:szCs w:val="24"/>
        </w:rPr>
      </w:pPr>
    </w:p>
    <w:p w:rsidR="00B6244E" w:rsidRDefault="00667BD4">
      <w:pPr>
        <w:pStyle w:val="dazhangjie"/>
        <w:rPr>
          <w:color w:val="000000"/>
        </w:rPr>
      </w:pPr>
      <w:r>
        <w:rPr>
          <w:rFonts w:hAnsi="Calibri" w:hint="eastAsia"/>
          <w:b/>
          <w:color w:val="000000"/>
        </w:rPr>
        <w:t>§3  管理人报告</w:t>
      </w:r>
    </w:p>
    <w:p w:rsidR="00DD2E38" w:rsidRDefault="00DD2E38" w:rsidP="00DD2E38">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r>
        <w:rPr>
          <w:rFonts w:hint="eastAsia"/>
          <w:b/>
          <w:color w:val="000000"/>
        </w:rPr>
        <w:tab/>
      </w:r>
    </w:p>
    <w:p w:rsidR="00CA1BF1" w:rsidRPr="00CA1BF1" w:rsidRDefault="00CA1BF1" w:rsidP="00CA1BF1">
      <w:pPr>
        <w:spacing w:line="360" w:lineRule="auto"/>
        <w:ind w:firstLineChars="200" w:firstLine="480"/>
        <w:rPr>
          <w:rFonts w:ascii="宋体" w:hAnsi="宋体"/>
          <w:color w:val="000000"/>
          <w:kern w:val="0"/>
          <w:sz w:val="24"/>
          <w:szCs w:val="24"/>
        </w:rPr>
      </w:pPr>
      <w:r w:rsidRPr="00CA1BF1">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CA1BF1">
        <w:rPr>
          <w:rFonts w:ascii="宋体" w:hAnsi="宋体"/>
          <w:color w:val="000000"/>
          <w:kern w:val="0"/>
          <w:sz w:val="24"/>
          <w:szCs w:val="24"/>
        </w:rPr>
        <w:t>2</w:t>
      </w:r>
      <w:r w:rsidRPr="00CA1BF1">
        <w:rPr>
          <w:rFonts w:ascii="宋体" w:hAnsi="宋体" w:hint="eastAsia"/>
          <w:color w:val="000000"/>
          <w:kern w:val="0"/>
          <w:sz w:val="24"/>
          <w:szCs w:val="24"/>
        </w:rPr>
        <w:t>万亿，财政赤字率为</w:t>
      </w:r>
      <w:r w:rsidRPr="00CA1BF1">
        <w:rPr>
          <w:rFonts w:ascii="宋体" w:hAnsi="宋体"/>
          <w:color w:val="000000"/>
          <w:kern w:val="0"/>
          <w:sz w:val="24"/>
          <w:szCs w:val="24"/>
        </w:rPr>
        <w:t>2.8%</w:t>
      </w:r>
      <w:r w:rsidRPr="00CA1BF1">
        <w:rPr>
          <w:rFonts w:ascii="宋体" w:hAnsi="宋体" w:hint="eastAsia"/>
          <w:color w:val="000000"/>
          <w:kern w:val="0"/>
          <w:sz w:val="24"/>
          <w:szCs w:val="24"/>
        </w:rPr>
        <w:t>左右，维持地方政府专项债额度</w:t>
      </w:r>
      <w:r w:rsidRPr="00CA1BF1">
        <w:rPr>
          <w:rFonts w:ascii="宋体" w:hAnsi="宋体"/>
          <w:color w:val="000000"/>
          <w:kern w:val="0"/>
          <w:sz w:val="24"/>
          <w:szCs w:val="24"/>
        </w:rPr>
        <w:t>3.65</w:t>
      </w:r>
      <w:r w:rsidRPr="00CA1BF1">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CA1BF1" w:rsidRPr="00CA1BF1" w:rsidRDefault="00CA1BF1" w:rsidP="00CA1BF1">
      <w:pPr>
        <w:spacing w:line="360" w:lineRule="auto"/>
        <w:rPr>
          <w:rFonts w:ascii="宋体" w:hAnsi="宋体"/>
          <w:color w:val="000000"/>
          <w:kern w:val="0"/>
          <w:sz w:val="24"/>
          <w:szCs w:val="24"/>
        </w:rPr>
      </w:pPr>
      <w:r w:rsidRPr="00CA1BF1">
        <w:rPr>
          <w:rFonts w:ascii="宋体" w:hAnsi="宋体" w:hint="eastAsia"/>
          <w:color w:val="000000"/>
          <w:kern w:val="0"/>
          <w:sz w:val="24"/>
          <w:szCs w:val="24"/>
        </w:rPr>
        <w:t>债券市场一季度整体呈现震荡行情，市场对稳增长政策落地效果存在一定分歧，</w:t>
      </w:r>
      <w:r w:rsidRPr="00CA1BF1">
        <w:rPr>
          <w:rFonts w:ascii="宋体" w:hAnsi="宋体"/>
          <w:color w:val="000000"/>
          <w:kern w:val="0"/>
          <w:sz w:val="24"/>
          <w:szCs w:val="24"/>
        </w:rPr>
        <w:t xml:space="preserve"> 10</w:t>
      </w:r>
      <w:r w:rsidRPr="00CA1BF1">
        <w:rPr>
          <w:rFonts w:ascii="宋体" w:hAnsi="宋体" w:hint="eastAsia"/>
          <w:color w:val="000000"/>
          <w:kern w:val="0"/>
          <w:sz w:val="24"/>
          <w:szCs w:val="24"/>
        </w:rPr>
        <w:t>年</w:t>
      </w:r>
      <w:r w:rsidRPr="00CA1BF1">
        <w:rPr>
          <w:rFonts w:ascii="宋体" w:hAnsi="宋体" w:hint="eastAsia"/>
          <w:color w:val="000000"/>
          <w:kern w:val="0"/>
          <w:sz w:val="24"/>
          <w:szCs w:val="24"/>
        </w:rPr>
        <w:lastRenderedPageBreak/>
        <w:t>期国债在</w:t>
      </w:r>
      <w:r w:rsidRPr="00CA1BF1">
        <w:rPr>
          <w:rFonts w:ascii="宋体" w:hAnsi="宋体"/>
          <w:color w:val="000000"/>
          <w:kern w:val="0"/>
          <w:sz w:val="24"/>
          <w:szCs w:val="24"/>
        </w:rPr>
        <w:t>2.68%-2.85%</w:t>
      </w:r>
      <w:r w:rsidRPr="00CA1BF1">
        <w:rPr>
          <w:rFonts w:ascii="宋体" w:hAnsi="宋体" w:hint="eastAsia"/>
          <w:color w:val="000000"/>
          <w:kern w:val="0"/>
          <w:sz w:val="24"/>
          <w:szCs w:val="24"/>
        </w:rPr>
        <w:t>区间内震荡，交易操作空间相对较窄。具体来看，</w:t>
      </w:r>
      <w:r w:rsidRPr="00CA1BF1">
        <w:rPr>
          <w:rFonts w:ascii="宋体" w:hAnsi="宋体"/>
          <w:color w:val="000000"/>
          <w:kern w:val="0"/>
          <w:sz w:val="24"/>
          <w:szCs w:val="24"/>
        </w:rPr>
        <w:t>1</w:t>
      </w:r>
      <w:r w:rsidRPr="00CA1BF1">
        <w:rPr>
          <w:rFonts w:ascii="宋体" w:hAnsi="宋体" w:hint="eastAsia"/>
          <w:color w:val="000000"/>
          <w:kern w:val="0"/>
          <w:sz w:val="24"/>
          <w:szCs w:val="24"/>
        </w:rPr>
        <w:t>月中旬央行超预期下调</w:t>
      </w:r>
      <w:r w:rsidRPr="00CA1BF1">
        <w:rPr>
          <w:rFonts w:ascii="宋体" w:hAnsi="宋体"/>
          <w:color w:val="000000"/>
          <w:kern w:val="0"/>
          <w:sz w:val="24"/>
          <w:szCs w:val="24"/>
        </w:rPr>
        <w:t>MLF</w:t>
      </w:r>
      <w:r w:rsidRPr="00CA1BF1">
        <w:rPr>
          <w:rFonts w:ascii="宋体" w:hAnsi="宋体" w:hint="eastAsia"/>
          <w:color w:val="000000"/>
          <w:kern w:val="0"/>
          <w:sz w:val="24"/>
          <w:szCs w:val="24"/>
        </w:rPr>
        <w:t>及公开市场操作利率</w:t>
      </w:r>
      <w:r w:rsidRPr="00CA1BF1">
        <w:rPr>
          <w:rFonts w:ascii="宋体" w:hAnsi="宋体"/>
          <w:color w:val="000000"/>
          <w:kern w:val="0"/>
          <w:sz w:val="24"/>
          <w:szCs w:val="24"/>
        </w:rPr>
        <w:t>10BP</w:t>
      </w:r>
      <w:r w:rsidRPr="00CA1BF1">
        <w:rPr>
          <w:rFonts w:ascii="宋体" w:hAnsi="宋体" w:hint="eastAsia"/>
          <w:color w:val="000000"/>
          <w:kern w:val="0"/>
          <w:sz w:val="24"/>
          <w:szCs w:val="24"/>
        </w:rPr>
        <w:t>，点燃市场做多热情，</w:t>
      </w:r>
      <w:r w:rsidRPr="00CA1BF1">
        <w:rPr>
          <w:rFonts w:ascii="宋体" w:hAnsi="宋体"/>
          <w:color w:val="000000"/>
          <w:kern w:val="0"/>
          <w:sz w:val="24"/>
          <w:szCs w:val="24"/>
        </w:rPr>
        <w:t>10</w:t>
      </w:r>
      <w:r w:rsidRPr="00CA1BF1">
        <w:rPr>
          <w:rFonts w:ascii="宋体" w:hAnsi="宋体" w:hint="eastAsia"/>
          <w:color w:val="000000"/>
          <w:kern w:val="0"/>
          <w:sz w:val="24"/>
          <w:szCs w:val="24"/>
        </w:rPr>
        <w:t>年期国债利率快速下行至</w:t>
      </w:r>
      <w:r w:rsidRPr="00CA1BF1">
        <w:rPr>
          <w:rFonts w:ascii="宋体" w:hAnsi="宋体"/>
          <w:color w:val="000000"/>
          <w:kern w:val="0"/>
          <w:sz w:val="24"/>
          <w:szCs w:val="24"/>
        </w:rPr>
        <w:t>2.70%</w:t>
      </w:r>
      <w:r w:rsidRPr="00CA1BF1">
        <w:rPr>
          <w:rFonts w:ascii="宋体" w:hAnsi="宋体" w:hint="eastAsia"/>
          <w:color w:val="000000"/>
          <w:kern w:val="0"/>
          <w:sz w:val="24"/>
          <w:szCs w:val="24"/>
        </w:rPr>
        <w:t>以下。</w:t>
      </w:r>
      <w:r w:rsidRPr="00CA1BF1">
        <w:rPr>
          <w:rFonts w:ascii="宋体" w:hAnsi="宋体"/>
          <w:color w:val="000000"/>
          <w:kern w:val="0"/>
          <w:sz w:val="24"/>
          <w:szCs w:val="24"/>
        </w:rPr>
        <w:t>2</w:t>
      </w:r>
      <w:r w:rsidRPr="00CA1BF1">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CA1BF1">
        <w:rPr>
          <w:rFonts w:ascii="宋体" w:hAnsi="宋体"/>
          <w:color w:val="000000"/>
          <w:kern w:val="0"/>
          <w:sz w:val="24"/>
          <w:szCs w:val="24"/>
        </w:rPr>
        <w:t>2.8%</w:t>
      </w:r>
      <w:r w:rsidRPr="00CA1BF1">
        <w:rPr>
          <w:rFonts w:ascii="宋体" w:hAnsi="宋体" w:hint="eastAsia"/>
          <w:color w:val="000000"/>
          <w:kern w:val="0"/>
          <w:sz w:val="24"/>
          <w:szCs w:val="24"/>
        </w:rPr>
        <w:t>以上。</w:t>
      </w:r>
      <w:r w:rsidRPr="00CA1BF1">
        <w:rPr>
          <w:rFonts w:ascii="宋体" w:hAnsi="宋体"/>
          <w:color w:val="000000"/>
          <w:kern w:val="0"/>
          <w:sz w:val="24"/>
          <w:szCs w:val="24"/>
        </w:rPr>
        <w:t>2</w:t>
      </w:r>
      <w:r w:rsidRPr="00CA1BF1">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CA1BF1">
        <w:rPr>
          <w:rFonts w:ascii="宋体" w:hAnsi="宋体"/>
          <w:color w:val="000000"/>
          <w:kern w:val="0"/>
          <w:sz w:val="24"/>
          <w:szCs w:val="24"/>
        </w:rPr>
        <w:t>3</w:t>
      </w:r>
      <w:r w:rsidRPr="00CA1BF1">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CA1BF1">
        <w:rPr>
          <w:rFonts w:ascii="宋体" w:hAnsi="宋体"/>
          <w:color w:val="000000"/>
          <w:kern w:val="0"/>
          <w:sz w:val="24"/>
          <w:szCs w:val="24"/>
        </w:rPr>
        <w:t>2.8%</w:t>
      </w:r>
      <w:r w:rsidRPr="00CA1BF1">
        <w:rPr>
          <w:rFonts w:ascii="宋体" w:hAnsi="宋体" w:hint="eastAsia"/>
          <w:color w:val="000000"/>
          <w:kern w:val="0"/>
          <w:sz w:val="24"/>
          <w:szCs w:val="24"/>
        </w:rPr>
        <w:t>附近来回震荡。</w:t>
      </w:r>
    </w:p>
    <w:p w:rsidR="00CA1BF1" w:rsidRPr="00CA1BF1" w:rsidRDefault="00CA1BF1" w:rsidP="00CA1BF1">
      <w:pPr>
        <w:spacing w:line="360" w:lineRule="auto"/>
        <w:ind w:firstLineChars="200" w:firstLine="480"/>
        <w:rPr>
          <w:rFonts w:ascii="宋体" w:hAnsi="宋体"/>
          <w:color w:val="000000"/>
          <w:kern w:val="0"/>
          <w:sz w:val="24"/>
          <w:szCs w:val="24"/>
        </w:rPr>
      </w:pPr>
      <w:r w:rsidRPr="00CA1BF1">
        <w:rPr>
          <w:rFonts w:ascii="宋体" w:hAnsi="宋体" w:hint="eastAsia"/>
          <w:color w:val="000000"/>
          <w:kern w:val="0"/>
          <w:sz w:val="24"/>
          <w:szCs w:val="24"/>
        </w:rPr>
        <w:t>展望后市，稳增长压力下，国内货币政策“以我为主”，宽货币的政策取向未变。在部分固收</w:t>
      </w:r>
      <w:r w:rsidRPr="00CA1BF1">
        <w:rPr>
          <w:rFonts w:ascii="宋体" w:hAnsi="宋体"/>
          <w:color w:val="000000"/>
          <w:kern w:val="0"/>
          <w:sz w:val="24"/>
          <w:szCs w:val="24"/>
        </w:rPr>
        <w:t>+</w:t>
      </w:r>
      <w:r w:rsidRPr="00CA1BF1">
        <w:rPr>
          <w:rFonts w:ascii="宋体" w:hAnsi="宋体" w:hint="eastAsia"/>
          <w:color w:val="000000"/>
          <w:kern w:val="0"/>
          <w:sz w:val="24"/>
          <w:szCs w:val="24"/>
        </w:rPr>
        <w:t>基金赎回压力释放后，市场资金向偏债型产品回流，债市交易情绪回暖。</w:t>
      </w:r>
      <w:r w:rsidRPr="00CA1BF1">
        <w:rPr>
          <w:rFonts w:ascii="宋体" w:hAnsi="宋体"/>
          <w:color w:val="000000"/>
          <w:kern w:val="0"/>
          <w:sz w:val="24"/>
          <w:szCs w:val="24"/>
        </w:rPr>
        <w:t>4</w:t>
      </w:r>
      <w:r w:rsidRPr="00CA1BF1">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CA1BF1" w:rsidRPr="00CA1BF1" w:rsidRDefault="00CA1BF1" w:rsidP="00CA1BF1">
      <w:pPr>
        <w:spacing w:line="360" w:lineRule="auto"/>
        <w:ind w:firstLineChars="200" w:firstLine="480"/>
        <w:rPr>
          <w:rFonts w:ascii="宋体" w:hAnsi="宋体"/>
          <w:color w:val="000000"/>
          <w:kern w:val="0"/>
          <w:sz w:val="24"/>
          <w:szCs w:val="24"/>
        </w:rPr>
      </w:pPr>
      <w:r w:rsidRPr="00CA1BF1">
        <w:rPr>
          <w:rFonts w:ascii="宋体" w:hAnsi="宋体" w:hint="eastAsia"/>
          <w:color w:val="000000"/>
          <w:kern w:val="0"/>
          <w:sz w:val="24"/>
          <w:szCs w:val="24"/>
        </w:rPr>
        <w:t>一季度期间机构关注点由宽货币向稳增长切换，市场也随之出现波动。本产品坚守流动性管理工具本质，维持持仓高流动性结构，并通过适时调整产品杠杆、久期水平维持产品净值相对平稳，以期为投资者创造较好的投资体验。后期季末、赎回等阶段性扰动因素将逐步退却，债券市场预期将迎来修复行情，产品将视负债端及市场环境积极操作，但对长端利率依旧谨慎。</w:t>
      </w:r>
    </w:p>
    <w:p w:rsidR="00DD2E38" w:rsidRDefault="00DD2E38" w:rsidP="00DD2E38">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CA1BF1" w:rsidRPr="00CA1BF1" w:rsidRDefault="00CA1BF1" w:rsidP="00CA1BF1">
      <w:pPr>
        <w:spacing w:line="360" w:lineRule="auto"/>
        <w:ind w:firstLineChars="200" w:firstLine="480"/>
        <w:rPr>
          <w:rFonts w:ascii="宋体" w:hAnsi="宋体"/>
          <w:color w:val="000000"/>
          <w:kern w:val="0"/>
          <w:sz w:val="24"/>
          <w:szCs w:val="24"/>
        </w:rPr>
      </w:pPr>
      <w:r w:rsidRPr="00CA1BF1">
        <w:rPr>
          <w:rFonts w:ascii="宋体" w:hAnsi="宋体" w:hint="eastAsia"/>
          <w:color w:val="000000"/>
          <w:kern w:val="0"/>
          <w:sz w:val="24"/>
          <w:szCs w:val="24"/>
        </w:rPr>
        <w:t>本产品定位为流动性管理工具，持仓债券以高流动性资产为主，产品杠杆处于安全水平。</w:t>
      </w:r>
    </w:p>
    <w:p w:rsidR="00B6244E" w:rsidRDefault="00667BD4">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3016B4" w:rsidRDefault="003016B4">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截至报告期末,本产品份额净值为1.0208元。</w:t>
      </w:r>
    </w:p>
    <w:p w:rsidR="00B6244E" w:rsidRDefault="00B6244E">
      <w:pPr>
        <w:spacing w:line="360" w:lineRule="auto"/>
        <w:ind w:firstLineChars="200" w:firstLine="480"/>
        <w:rPr>
          <w:rFonts w:ascii="宋体" w:hAnsi="宋体"/>
          <w:sz w:val="24"/>
          <w:szCs w:val="24"/>
        </w:rPr>
      </w:pPr>
    </w:p>
    <w:p w:rsidR="00B6244E" w:rsidRDefault="00667BD4">
      <w:pPr>
        <w:pStyle w:val="dazhangjie"/>
        <w:rPr>
          <w:color w:val="000000"/>
        </w:rPr>
      </w:pPr>
      <w:r>
        <w:rPr>
          <w:rFonts w:hAnsi="Calibri" w:hint="eastAsia"/>
          <w:b/>
          <w:color w:val="000000"/>
        </w:rPr>
        <w:t>§4  投资组合报告</w:t>
      </w:r>
    </w:p>
    <w:p w:rsidR="00B6244E" w:rsidRDefault="00667BD4">
      <w:pPr>
        <w:pStyle w:val="zhangjiep"/>
        <w:ind w:left="0"/>
      </w:pPr>
      <w:r>
        <w:rPr>
          <w:rFonts w:hint="eastAsia"/>
          <w:b/>
          <w:bCs/>
        </w:rPr>
        <w:t>4.1 报告期末产品资产组合情况</w:t>
      </w:r>
    </w:p>
    <w:tbl>
      <w:tblPr>
        <w:tblW w:w="0" w:type="auto"/>
        <w:tblInd w:w="108" w:type="dxa"/>
        <w:tblLayout w:type="fixed"/>
        <w:tblLook w:val="04A0"/>
      </w:tblPr>
      <w:tblGrid>
        <w:gridCol w:w="891"/>
        <w:gridCol w:w="3078"/>
        <w:gridCol w:w="2567"/>
        <w:gridCol w:w="2395"/>
      </w:tblGrid>
      <w:tr w:rsidR="00B6244E">
        <w:tc>
          <w:tcPr>
            <w:tcW w:w="891" w:type="dxa"/>
            <w:tcBorders>
              <w:top w:val="single" w:sz="8" w:space="0" w:color="000000"/>
              <w:left w:val="single" w:sz="8" w:space="0" w:color="000000"/>
              <w:bottom w:val="single" w:sz="8" w:space="0" w:color="000000"/>
              <w:right w:val="single" w:sz="8" w:space="0" w:color="000000"/>
            </w:tcBorders>
            <w:noWrap/>
            <w:vAlign w:val="bottom"/>
          </w:tcPr>
          <w:p w:rsidR="00B6244E" w:rsidRDefault="00667BD4">
            <w:pPr>
              <w:pStyle w:val="biaogecenter"/>
              <w:rPr>
                <w:color w:val="000000"/>
              </w:rPr>
            </w:pPr>
            <w:r>
              <w:rPr>
                <w:rFonts w:hint="eastAsia"/>
                <w:color w:val="000000"/>
              </w:rPr>
              <w:t>序号</w:t>
            </w:r>
          </w:p>
        </w:tc>
        <w:tc>
          <w:tcPr>
            <w:tcW w:w="3078" w:type="dxa"/>
            <w:tcBorders>
              <w:top w:val="single" w:sz="8" w:space="0" w:color="000000"/>
              <w:left w:val="single" w:sz="8" w:space="0" w:color="000000"/>
              <w:bottom w:val="single" w:sz="8" w:space="0" w:color="000000"/>
              <w:right w:val="single" w:sz="8" w:space="0" w:color="000000"/>
            </w:tcBorders>
            <w:noWrap/>
            <w:vAlign w:val="bottom"/>
          </w:tcPr>
          <w:p w:rsidR="00B6244E" w:rsidRDefault="00667BD4">
            <w:pPr>
              <w:pStyle w:val="biaogecenter"/>
              <w:rPr>
                <w:color w:val="000000"/>
              </w:rPr>
            </w:pPr>
            <w:r>
              <w:rPr>
                <w:rFonts w:hint="eastAsia"/>
                <w:color w:val="000000"/>
              </w:rPr>
              <w:t>资产类别</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rPr>
                <w:color w:val="000000"/>
              </w:rPr>
            </w:pPr>
            <w:r>
              <w:rPr>
                <w:rFonts w:hint="eastAsia"/>
                <w:color w:val="000000"/>
              </w:rPr>
              <w:t>穿透后占总资产比例</w:t>
            </w:r>
          </w:p>
        </w:tc>
      </w:tr>
      <w:tr w:rsidR="009B4244">
        <w:tc>
          <w:tcPr>
            <w:tcW w:w="891" w:type="dxa"/>
            <w:tcBorders>
              <w:top w:val="single" w:sz="8" w:space="0" w:color="000000"/>
              <w:left w:val="single" w:sz="8" w:space="0" w:color="000000"/>
              <w:bottom w:val="single" w:sz="8" w:space="0" w:color="000000"/>
              <w:right w:val="single" w:sz="8" w:space="0" w:color="000000"/>
            </w:tcBorders>
            <w:noWrap/>
            <w:vAlign w:val="bottom"/>
          </w:tcPr>
          <w:p w:rsidR="009B4244" w:rsidRDefault="009B4244">
            <w:pPr>
              <w:pStyle w:val="biaogecenter"/>
              <w:rPr>
                <w:color w:val="000000"/>
              </w:rPr>
            </w:pPr>
            <w:r>
              <w:rPr>
                <w:rFonts w:hint="eastAsia"/>
                <w:color w:val="000000"/>
              </w:rPr>
              <w:t>1</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rFonts w:hint="eastAsia"/>
                <w:color w:val="000000"/>
              </w:rPr>
              <w:t>固定收益类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100.00%</w:t>
            </w:r>
          </w:p>
        </w:tc>
      </w:tr>
      <w:tr w:rsidR="009B4244">
        <w:tc>
          <w:tcPr>
            <w:tcW w:w="891" w:type="dxa"/>
            <w:tcBorders>
              <w:top w:val="single" w:sz="8" w:space="0" w:color="000000"/>
              <w:left w:val="single" w:sz="8" w:space="0" w:color="000000"/>
              <w:bottom w:val="single" w:sz="8" w:space="0" w:color="000000"/>
              <w:right w:val="single" w:sz="8" w:space="0" w:color="000000"/>
            </w:tcBorders>
            <w:noWrap/>
            <w:vAlign w:val="bottom"/>
          </w:tcPr>
          <w:p w:rsidR="009B4244" w:rsidRDefault="009B4244">
            <w:pPr>
              <w:pStyle w:val="biaogecenter"/>
              <w:rPr>
                <w:color w:val="000000"/>
              </w:rPr>
            </w:pPr>
            <w:r>
              <w:rPr>
                <w:rFonts w:hint="eastAsia"/>
                <w:color w:val="000000"/>
              </w:rPr>
              <w:lastRenderedPageBreak/>
              <w:t>2</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rFonts w:hint="eastAsia"/>
                <w:color w:val="000000"/>
              </w:rPr>
              <w:t>权益类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r>
      <w:tr w:rsidR="009B4244">
        <w:tc>
          <w:tcPr>
            <w:tcW w:w="891" w:type="dxa"/>
            <w:tcBorders>
              <w:top w:val="single" w:sz="8" w:space="0" w:color="000000"/>
              <w:left w:val="single" w:sz="8" w:space="0" w:color="000000"/>
              <w:bottom w:val="single" w:sz="8" w:space="0" w:color="000000"/>
              <w:right w:val="single" w:sz="8" w:space="0" w:color="000000"/>
            </w:tcBorders>
            <w:noWrap/>
            <w:vAlign w:val="bottom"/>
          </w:tcPr>
          <w:p w:rsidR="009B4244" w:rsidRDefault="009B4244">
            <w:pPr>
              <w:pStyle w:val="biaogecenter"/>
              <w:rPr>
                <w:color w:val="000000"/>
              </w:rPr>
            </w:pPr>
            <w:r>
              <w:rPr>
                <w:rFonts w:hint="eastAsia"/>
                <w:color w:val="000000"/>
              </w:rPr>
              <w:t>3</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rFonts w:hint="eastAsia"/>
                <w:color w:val="000000"/>
              </w:rPr>
              <w:t>商品及金融衍生品类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r>
      <w:tr w:rsidR="009B4244">
        <w:tc>
          <w:tcPr>
            <w:tcW w:w="891" w:type="dxa"/>
            <w:tcBorders>
              <w:top w:val="single" w:sz="8" w:space="0" w:color="000000"/>
              <w:left w:val="single" w:sz="8" w:space="0" w:color="000000"/>
              <w:bottom w:val="single" w:sz="8" w:space="0" w:color="000000"/>
              <w:right w:val="single" w:sz="8" w:space="0" w:color="000000"/>
            </w:tcBorders>
            <w:noWrap/>
            <w:vAlign w:val="bottom"/>
          </w:tcPr>
          <w:p w:rsidR="009B4244" w:rsidRDefault="009B4244">
            <w:pPr>
              <w:pStyle w:val="biaogecenter"/>
              <w:rPr>
                <w:color w:val="000000"/>
              </w:rPr>
            </w:pPr>
            <w:r>
              <w:rPr>
                <w:rFonts w:hint="eastAsia"/>
                <w:color w:val="000000"/>
              </w:rPr>
              <w:t>4</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rFonts w:hint="eastAsia"/>
                <w:color w:val="000000"/>
              </w:rPr>
              <w:t>混合类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0.00%</w:t>
            </w:r>
          </w:p>
        </w:tc>
      </w:tr>
      <w:tr w:rsidR="009B4244">
        <w:tc>
          <w:tcPr>
            <w:tcW w:w="891" w:type="dxa"/>
            <w:tcBorders>
              <w:top w:val="single" w:sz="8" w:space="0" w:color="000000"/>
              <w:left w:val="single" w:sz="8" w:space="0" w:color="000000"/>
              <w:bottom w:val="single" w:sz="8" w:space="0" w:color="000000"/>
              <w:right w:val="single" w:sz="8" w:space="0" w:color="000000"/>
            </w:tcBorders>
            <w:noWrap/>
            <w:vAlign w:val="bottom"/>
          </w:tcPr>
          <w:p w:rsidR="009B4244" w:rsidRDefault="009B4244">
            <w:pPr>
              <w:pStyle w:val="biaogecenter"/>
              <w:rPr>
                <w:color w:val="000000"/>
              </w:rPr>
            </w:pPr>
            <w:r>
              <w:rPr>
                <w:rFonts w:hint="eastAsia"/>
                <w:color w:val="000000"/>
              </w:rPr>
              <w:t>5</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rFonts w:hint="eastAsia"/>
                <w:color w:val="000000"/>
              </w:rPr>
              <w:t>合计</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4244" w:rsidRPr="009B3F0A" w:rsidRDefault="009B4244" w:rsidP="00B822CA">
            <w:pPr>
              <w:pStyle w:val="biaogecenter"/>
              <w:rPr>
                <w:color w:val="000000"/>
              </w:rPr>
            </w:pPr>
            <w:r w:rsidRPr="009B3F0A">
              <w:rPr>
                <w:color w:val="000000"/>
              </w:rPr>
              <w:t>100.00%</w:t>
            </w:r>
          </w:p>
        </w:tc>
      </w:tr>
    </w:tbl>
    <w:p w:rsidR="00B6244E" w:rsidRDefault="00B6244E">
      <w:pPr>
        <w:widowControl/>
        <w:jc w:val="left"/>
        <w:rPr>
          <w:rFonts w:ascii="宋体" w:hAnsi="宋体" w:cs="宋体"/>
          <w:color w:val="000000"/>
          <w:kern w:val="0"/>
          <w:sz w:val="24"/>
          <w:szCs w:val="24"/>
        </w:rPr>
      </w:pPr>
      <w:bookmarkStart w:id="0" w:name="_GoBack"/>
      <w:bookmarkEnd w:id="0"/>
    </w:p>
    <w:p w:rsidR="00B6244E" w:rsidRDefault="00667BD4">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B6244E">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B6244E" w:rsidRDefault="00667BD4">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B6244E" w:rsidRDefault="00667BD4">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B6244E" w:rsidRDefault="00667BD4">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B6244E" w:rsidRDefault="00667BD4">
            <w:pPr>
              <w:pStyle w:val="biaogecenter"/>
              <w:wordWrap w:val="0"/>
              <w:rPr>
                <w:color w:val="000000"/>
              </w:rPr>
            </w:pPr>
            <w:r>
              <w:rPr>
                <w:rFonts w:hint="eastAsia"/>
                <w:color w:val="000000"/>
              </w:rPr>
              <w:t>占产品资产净值比例（％）</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101900614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19桂交投MTN001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200,216,600.00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1.86</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031771022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17武进经发PPN001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196,146,990.00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1.82</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101900484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19青岛北城MTN001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180,082,620.00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1.68</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031758013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17华靖资产PPN001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151,420,800.00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1.41</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166522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20泰交01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140,000,429.17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1.30</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101771006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17泰州滨江MTN001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130,972,400.00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1.22</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031900370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19常高新PPN001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130,160,940.00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1.21</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1780417</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17金华融盛债</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125,854,800.00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1.17</w:t>
            </w:r>
          </w:p>
        </w:tc>
      </w:tr>
      <w:tr w:rsidR="00666CD2">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101900093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19溧水城建MTN001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102,477,600.00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0.95</w:t>
            </w:r>
          </w:p>
        </w:tc>
      </w:tr>
      <w:tr w:rsidR="00666CD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66CD2" w:rsidRDefault="00666CD2">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666CD2" w:rsidRPr="00666CD2" w:rsidRDefault="00666CD2" w:rsidP="00666CD2">
            <w:pPr>
              <w:pStyle w:val="biaogecenter"/>
              <w:wordWrap w:val="0"/>
              <w:rPr>
                <w:color w:val="000000"/>
              </w:rPr>
            </w:pPr>
            <w:r w:rsidRPr="00666CD2">
              <w:rPr>
                <w:rFonts w:hint="eastAsia"/>
                <w:color w:val="000000"/>
              </w:rPr>
              <w:t>031900878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19铜陵建投PPN002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101,592,100.00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666CD2" w:rsidRPr="00666CD2" w:rsidRDefault="00666CD2" w:rsidP="00666CD2">
            <w:pPr>
              <w:pStyle w:val="biaogecenter"/>
              <w:wordWrap w:val="0"/>
              <w:rPr>
                <w:color w:val="000000"/>
              </w:rPr>
            </w:pPr>
            <w:r w:rsidRPr="00666CD2">
              <w:rPr>
                <w:rFonts w:hint="eastAsia"/>
                <w:color w:val="000000"/>
              </w:rPr>
              <w:t>0.95</w:t>
            </w:r>
          </w:p>
        </w:tc>
      </w:tr>
    </w:tbl>
    <w:p w:rsidR="00B6244E" w:rsidRDefault="00B6244E">
      <w:pPr>
        <w:widowControl/>
        <w:jc w:val="left"/>
        <w:rPr>
          <w:rFonts w:ascii="宋体" w:hAnsi="宋体" w:cs="宋体"/>
          <w:b/>
          <w:sz w:val="24"/>
          <w:szCs w:val="24"/>
          <w:shd w:val="clear" w:color="auto" w:fill="FFFFFF"/>
        </w:rPr>
      </w:pPr>
    </w:p>
    <w:p w:rsidR="00B6244E" w:rsidRDefault="00667BD4">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B6244E" w:rsidRDefault="00B6244E">
      <w:pPr>
        <w:widowControl/>
        <w:jc w:val="left"/>
        <w:rPr>
          <w:b/>
          <w:shd w:val="clear" w:color="auto" w:fill="FFFFFF"/>
        </w:rPr>
      </w:pPr>
    </w:p>
    <w:tbl>
      <w:tblPr>
        <w:tblW w:w="0" w:type="auto"/>
        <w:tblInd w:w="108" w:type="dxa"/>
        <w:tblLayout w:type="fixed"/>
        <w:tblLook w:val="04A0"/>
      </w:tblPr>
      <w:tblGrid>
        <w:gridCol w:w="709"/>
        <w:gridCol w:w="1276"/>
        <w:gridCol w:w="1701"/>
        <w:gridCol w:w="1417"/>
        <w:gridCol w:w="1701"/>
        <w:gridCol w:w="1276"/>
        <w:gridCol w:w="851"/>
      </w:tblGrid>
      <w:tr w:rsidR="00B6244E">
        <w:tc>
          <w:tcPr>
            <w:tcW w:w="709"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Ansi="Calibri" w:hint="eastAsia"/>
                <w:shd w:val="clear" w:color="auto" w:fill="FFFFFF"/>
              </w:rPr>
              <w:t>序号</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Ansi="Calibri" w:hint="eastAsia"/>
                <w:shd w:val="clear" w:color="auto" w:fill="FFFFFF"/>
              </w:rPr>
              <w:t>项目名称</w:t>
            </w:r>
          </w:p>
        </w:tc>
        <w:tc>
          <w:tcPr>
            <w:tcW w:w="1417"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剩余融资期限</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风险状况</w:t>
            </w:r>
          </w:p>
        </w:tc>
      </w:tr>
      <w:tr w:rsidR="00B6244E">
        <w:tc>
          <w:tcPr>
            <w:tcW w:w="709"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1417"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rFonts w:hAnsi="Calibri"/>
                <w:shd w:val="clear" w:color="auto" w:fill="FFFFFF"/>
              </w:rPr>
            </w:pPr>
            <w:r>
              <w:rPr>
                <w:rFonts w:hAnsi="Calibri" w:hint="eastAsia"/>
                <w:shd w:val="clear" w:color="auto" w:fill="FFFFFF"/>
              </w:rPr>
              <w:t>-</w:t>
            </w:r>
          </w:p>
        </w:tc>
      </w:tr>
    </w:tbl>
    <w:p w:rsidR="00B6244E" w:rsidRDefault="00B6244E">
      <w:pPr>
        <w:widowControl/>
        <w:jc w:val="left"/>
        <w:rPr>
          <w:rFonts w:ascii="宋体" w:hAnsi="宋体" w:cs="宋体"/>
          <w:color w:val="000000"/>
          <w:kern w:val="0"/>
          <w:sz w:val="24"/>
          <w:szCs w:val="24"/>
        </w:rPr>
      </w:pPr>
    </w:p>
    <w:p w:rsidR="00B6244E" w:rsidRDefault="00667BD4">
      <w:pPr>
        <w:pStyle w:val="dazhangjie"/>
        <w:rPr>
          <w:b/>
          <w:bCs/>
          <w:color w:val="000000"/>
        </w:rPr>
      </w:pPr>
      <w:r>
        <w:rPr>
          <w:rFonts w:hint="eastAsia"/>
          <w:b/>
          <w:bCs/>
          <w:color w:val="000000"/>
        </w:rPr>
        <w:t>§5 投资账户信息</w:t>
      </w:r>
    </w:p>
    <w:tbl>
      <w:tblPr>
        <w:tblW w:w="4943" w:type="pct"/>
        <w:tblInd w:w="102" w:type="dxa"/>
        <w:tblLook w:val="04A0"/>
      </w:tblPr>
      <w:tblGrid>
        <w:gridCol w:w="711"/>
        <w:gridCol w:w="1297"/>
        <w:gridCol w:w="2485"/>
        <w:gridCol w:w="3409"/>
        <w:gridCol w:w="1298"/>
      </w:tblGrid>
      <w:tr w:rsidR="00B6244E">
        <w:trPr>
          <w:trHeight w:val="705"/>
        </w:trPr>
        <w:tc>
          <w:tcPr>
            <w:tcW w:w="367" w:type="pct"/>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rPr>
                <w:shd w:val="clear" w:color="auto" w:fill="FFFFFF"/>
              </w:rPr>
            </w:pPr>
            <w:r>
              <w:rPr>
                <w:rFonts w:hAnsi="Calibri" w:hint="eastAsia"/>
                <w:shd w:val="clear" w:color="auto" w:fill="FFFFFF"/>
              </w:rPr>
              <w:t>序号</w:t>
            </w:r>
          </w:p>
        </w:tc>
        <w:tc>
          <w:tcPr>
            <w:tcW w:w="710" w:type="pct"/>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账户类型</w:t>
            </w:r>
          </w:p>
        </w:tc>
        <w:tc>
          <w:tcPr>
            <w:tcW w:w="1354" w:type="pct"/>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Ansi="Calibri" w:hint="eastAsia"/>
                <w:shd w:val="clear" w:color="auto" w:fill="FFFFFF"/>
              </w:rPr>
              <w:t>账号</w:t>
            </w:r>
          </w:p>
        </w:tc>
        <w:tc>
          <w:tcPr>
            <w:tcW w:w="1856" w:type="pct"/>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账户名称</w:t>
            </w:r>
          </w:p>
        </w:tc>
        <w:tc>
          <w:tcPr>
            <w:tcW w:w="710" w:type="pct"/>
            <w:tcBorders>
              <w:top w:val="single" w:sz="8" w:space="0" w:color="000000"/>
              <w:left w:val="single" w:sz="8" w:space="0" w:color="000000"/>
              <w:bottom w:val="single" w:sz="6" w:space="0" w:color="000000"/>
              <w:right w:val="single" w:sz="8" w:space="0" w:color="000000"/>
            </w:tcBorders>
            <w:noWrap/>
            <w:vAlign w:val="center"/>
          </w:tcPr>
          <w:p w:rsidR="00B6244E" w:rsidRDefault="00667BD4">
            <w:pPr>
              <w:pStyle w:val="biaogecenter"/>
              <w:wordWrap w:val="0"/>
              <w:rPr>
                <w:shd w:val="clear" w:color="auto" w:fill="FFFFFF"/>
              </w:rPr>
            </w:pPr>
            <w:r>
              <w:rPr>
                <w:rFonts w:hint="eastAsia"/>
                <w:shd w:val="clear" w:color="auto" w:fill="FFFFFF"/>
              </w:rPr>
              <w:t>开户单位</w:t>
            </w:r>
          </w:p>
        </w:tc>
      </w:tr>
      <w:tr w:rsidR="00B6244E">
        <w:trPr>
          <w:trHeight w:val="364"/>
        </w:trPr>
        <w:tc>
          <w:tcPr>
            <w:tcW w:w="367" w:type="pct"/>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shd w:val="clear" w:color="auto" w:fill="FFFFFF"/>
              </w:rPr>
            </w:pPr>
            <w:r>
              <w:rPr>
                <w:rFonts w:hAnsi="Calibri" w:hint="eastAsia"/>
                <w:shd w:val="clear" w:color="auto" w:fill="FFFFFF"/>
              </w:rPr>
              <w:t>1</w:t>
            </w:r>
          </w:p>
        </w:tc>
        <w:tc>
          <w:tcPr>
            <w:tcW w:w="710" w:type="pct"/>
            <w:tcBorders>
              <w:top w:val="single" w:sz="8" w:space="0" w:color="000000"/>
              <w:left w:val="single" w:sz="8" w:space="0" w:color="000000"/>
              <w:bottom w:val="single" w:sz="8" w:space="0" w:color="000000"/>
              <w:right w:val="single" w:sz="8" w:space="0" w:color="000000"/>
            </w:tcBorders>
            <w:noWrap/>
            <w:vAlign w:val="bottom"/>
          </w:tcPr>
          <w:p w:rsidR="00B6244E" w:rsidRDefault="00667BD4">
            <w:pPr>
              <w:pStyle w:val="biaogecenter"/>
              <w:wordWrap w:val="0"/>
              <w:rPr>
                <w:shd w:val="clear" w:color="auto" w:fill="FFFFFF"/>
              </w:rPr>
            </w:pPr>
            <w:r>
              <w:rPr>
                <w:shd w:val="clear" w:color="auto" w:fill="FFFFFF"/>
              </w:rPr>
              <w:t>托管账户</w:t>
            </w:r>
          </w:p>
        </w:tc>
        <w:tc>
          <w:tcPr>
            <w:tcW w:w="1354" w:type="pct"/>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shd w:val="clear" w:color="auto" w:fill="FFFFFF"/>
              </w:rPr>
            </w:pPr>
            <w:r>
              <w:rPr>
                <w:shd w:val="clear" w:color="auto" w:fill="FFFFFF"/>
              </w:rPr>
              <w:t>01640124840000194</w:t>
            </w:r>
          </w:p>
        </w:tc>
        <w:tc>
          <w:tcPr>
            <w:tcW w:w="1856" w:type="pct"/>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shd w:val="clear" w:color="auto" w:fill="FFFFFF"/>
              </w:rPr>
            </w:pPr>
            <w:r>
              <w:rPr>
                <w:shd w:val="clear" w:color="auto" w:fill="FFFFFF"/>
              </w:rPr>
              <w:t>南京银行珠联璧合理财计划</w:t>
            </w:r>
          </w:p>
        </w:tc>
        <w:tc>
          <w:tcPr>
            <w:tcW w:w="710" w:type="pct"/>
            <w:tcBorders>
              <w:top w:val="single" w:sz="8" w:space="0" w:color="000000"/>
              <w:left w:val="single" w:sz="8" w:space="0" w:color="000000"/>
              <w:bottom w:val="single" w:sz="8" w:space="0" w:color="000000"/>
              <w:right w:val="single" w:sz="8" w:space="0" w:color="000000"/>
            </w:tcBorders>
            <w:noWrap/>
            <w:vAlign w:val="center"/>
          </w:tcPr>
          <w:p w:rsidR="00B6244E" w:rsidRDefault="00667BD4">
            <w:pPr>
              <w:pStyle w:val="biaogecenter"/>
              <w:wordWrap w:val="0"/>
              <w:rPr>
                <w:shd w:val="clear" w:color="auto" w:fill="FFFFFF"/>
              </w:rPr>
            </w:pPr>
            <w:r>
              <w:rPr>
                <w:shd w:val="clear" w:color="auto" w:fill="FFFFFF"/>
              </w:rPr>
              <w:t>南京银行</w:t>
            </w:r>
          </w:p>
        </w:tc>
      </w:tr>
    </w:tbl>
    <w:p w:rsidR="00B6244E" w:rsidRDefault="00B6244E">
      <w:pPr>
        <w:pStyle w:val="dazhangjie"/>
        <w:rPr>
          <w:b/>
          <w:bCs/>
          <w:color w:val="000000"/>
        </w:rPr>
      </w:pPr>
    </w:p>
    <w:p w:rsidR="00B6244E" w:rsidRDefault="00B6244E">
      <w:pPr>
        <w:pStyle w:val="a6"/>
        <w:rPr>
          <w:b/>
          <w:color w:val="000000"/>
        </w:rPr>
      </w:pPr>
    </w:p>
    <w:p w:rsidR="00B6244E" w:rsidRDefault="00B6244E">
      <w:pPr>
        <w:widowControl/>
        <w:jc w:val="left"/>
        <w:rPr>
          <w:color w:val="000000"/>
        </w:rPr>
      </w:pPr>
    </w:p>
    <w:p w:rsidR="00B6244E" w:rsidRDefault="00667BD4">
      <w:pPr>
        <w:pStyle w:val="biaogeright"/>
        <w:rPr>
          <w:rFonts w:hAnsi="Calibri"/>
          <w:b/>
          <w:bCs/>
          <w:color w:val="000000"/>
        </w:rPr>
      </w:pPr>
      <w:r>
        <w:rPr>
          <w:rFonts w:hAnsi="Calibri" w:hint="eastAsia"/>
          <w:b/>
          <w:bCs/>
          <w:color w:val="000000"/>
        </w:rPr>
        <w:t>南银理财有限责任公司</w:t>
      </w:r>
    </w:p>
    <w:p w:rsidR="00B6244E" w:rsidRDefault="003016B4" w:rsidP="003016B4">
      <w:pPr>
        <w:pStyle w:val="biaogeright"/>
        <w:rPr>
          <w:rFonts w:hAnsi="Calibri"/>
          <w:b/>
          <w:bCs/>
          <w:color w:val="000000"/>
        </w:rPr>
      </w:pPr>
      <w:r>
        <w:rPr>
          <w:rFonts w:hAnsi="Calibri" w:hint="eastAsia"/>
          <w:b/>
          <w:bCs/>
          <w:color w:val="000000"/>
        </w:rPr>
        <w:t>2022年3月31日</w:t>
      </w:r>
    </w:p>
    <w:sectPr w:rsidR="00B6244E" w:rsidSect="00B6244E">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F2B" w:rsidRDefault="00553F2B" w:rsidP="00B6244E">
      <w:r>
        <w:separator/>
      </w:r>
    </w:p>
  </w:endnote>
  <w:endnote w:type="continuationSeparator" w:id="1">
    <w:p w:rsidR="00553F2B" w:rsidRDefault="00553F2B" w:rsidP="00B62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4E" w:rsidRDefault="009F79AD">
    <w:pPr>
      <w:pStyle w:val="a4"/>
      <w:framePr w:wrap="around" w:vAnchor="text" w:hAnchor="margin" w:xAlign="center" w:y="1"/>
      <w:rPr>
        <w:rStyle w:val="a8"/>
      </w:rPr>
    </w:pPr>
    <w:r>
      <w:fldChar w:fldCharType="begin"/>
    </w:r>
    <w:r w:rsidR="00667BD4">
      <w:rPr>
        <w:rStyle w:val="a8"/>
      </w:rPr>
      <w:instrText xml:space="preserve">PAGE  </w:instrText>
    </w:r>
    <w:r>
      <w:fldChar w:fldCharType="end"/>
    </w:r>
  </w:p>
  <w:p w:rsidR="00B6244E" w:rsidRDefault="00B6244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4E" w:rsidRDefault="00B6244E">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F2B" w:rsidRDefault="00553F2B" w:rsidP="00B6244E">
      <w:r>
        <w:separator/>
      </w:r>
    </w:p>
  </w:footnote>
  <w:footnote w:type="continuationSeparator" w:id="1">
    <w:p w:rsidR="00553F2B" w:rsidRDefault="00553F2B" w:rsidP="00B624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4E" w:rsidRDefault="00667BD4">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2290"/>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43093FBC"/>
    <w:rsid w:val="00000109"/>
    <w:rsid w:val="000060E5"/>
    <w:rsid w:val="000102DF"/>
    <w:rsid w:val="00030F14"/>
    <w:rsid w:val="00031AE6"/>
    <w:rsid w:val="00034FF6"/>
    <w:rsid w:val="00037491"/>
    <w:rsid w:val="00044BFF"/>
    <w:rsid w:val="0005474A"/>
    <w:rsid w:val="00061725"/>
    <w:rsid w:val="00067886"/>
    <w:rsid w:val="00086C62"/>
    <w:rsid w:val="00093286"/>
    <w:rsid w:val="000A07E0"/>
    <w:rsid w:val="000A1F8E"/>
    <w:rsid w:val="000B285B"/>
    <w:rsid w:val="000C44EE"/>
    <w:rsid w:val="000D5066"/>
    <w:rsid w:val="000D5F8E"/>
    <w:rsid w:val="000F6191"/>
    <w:rsid w:val="000F6CC0"/>
    <w:rsid w:val="0010610C"/>
    <w:rsid w:val="00110E09"/>
    <w:rsid w:val="00130CE8"/>
    <w:rsid w:val="00145A17"/>
    <w:rsid w:val="00152201"/>
    <w:rsid w:val="0016590B"/>
    <w:rsid w:val="00176636"/>
    <w:rsid w:val="00182C9B"/>
    <w:rsid w:val="00183C84"/>
    <w:rsid w:val="001A0B70"/>
    <w:rsid w:val="001A339C"/>
    <w:rsid w:val="001C05F9"/>
    <w:rsid w:val="001C5395"/>
    <w:rsid w:val="001D5A30"/>
    <w:rsid w:val="001D72A9"/>
    <w:rsid w:val="001F4650"/>
    <w:rsid w:val="001F5321"/>
    <w:rsid w:val="002114A7"/>
    <w:rsid w:val="00211F26"/>
    <w:rsid w:val="002263FC"/>
    <w:rsid w:val="00231AC2"/>
    <w:rsid w:val="0023550F"/>
    <w:rsid w:val="00240350"/>
    <w:rsid w:val="0024254D"/>
    <w:rsid w:val="00251657"/>
    <w:rsid w:val="0026513C"/>
    <w:rsid w:val="002813D0"/>
    <w:rsid w:val="002900B6"/>
    <w:rsid w:val="00290D0E"/>
    <w:rsid w:val="00290DD2"/>
    <w:rsid w:val="0029110D"/>
    <w:rsid w:val="002A01E0"/>
    <w:rsid w:val="002A1C45"/>
    <w:rsid w:val="002A3AE9"/>
    <w:rsid w:val="002A7E7E"/>
    <w:rsid w:val="002B2C71"/>
    <w:rsid w:val="002B36BD"/>
    <w:rsid w:val="002C196E"/>
    <w:rsid w:val="002D0620"/>
    <w:rsid w:val="002D75D0"/>
    <w:rsid w:val="002E795C"/>
    <w:rsid w:val="002F3AEA"/>
    <w:rsid w:val="002F76D6"/>
    <w:rsid w:val="0030002B"/>
    <w:rsid w:val="0030118D"/>
    <w:rsid w:val="003016B4"/>
    <w:rsid w:val="00321CB7"/>
    <w:rsid w:val="00336DF9"/>
    <w:rsid w:val="003379A9"/>
    <w:rsid w:val="00347110"/>
    <w:rsid w:val="00350ADF"/>
    <w:rsid w:val="00352CFE"/>
    <w:rsid w:val="00355623"/>
    <w:rsid w:val="00363F78"/>
    <w:rsid w:val="00373526"/>
    <w:rsid w:val="003846B3"/>
    <w:rsid w:val="003862AF"/>
    <w:rsid w:val="003867E5"/>
    <w:rsid w:val="00396A50"/>
    <w:rsid w:val="003A0419"/>
    <w:rsid w:val="003B5524"/>
    <w:rsid w:val="003B73EB"/>
    <w:rsid w:val="003C2E6D"/>
    <w:rsid w:val="003E09EA"/>
    <w:rsid w:val="003F0AC3"/>
    <w:rsid w:val="004035EA"/>
    <w:rsid w:val="004135D0"/>
    <w:rsid w:val="00426B51"/>
    <w:rsid w:val="00434398"/>
    <w:rsid w:val="004432ED"/>
    <w:rsid w:val="00456251"/>
    <w:rsid w:val="00462877"/>
    <w:rsid w:val="00466076"/>
    <w:rsid w:val="00487993"/>
    <w:rsid w:val="00487AA2"/>
    <w:rsid w:val="004B1214"/>
    <w:rsid w:val="004C1607"/>
    <w:rsid w:val="004E0C32"/>
    <w:rsid w:val="005069D8"/>
    <w:rsid w:val="00526A09"/>
    <w:rsid w:val="0054267A"/>
    <w:rsid w:val="00545F71"/>
    <w:rsid w:val="00551558"/>
    <w:rsid w:val="00553F2B"/>
    <w:rsid w:val="00561127"/>
    <w:rsid w:val="0056162E"/>
    <w:rsid w:val="00567DB3"/>
    <w:rsid w:val="0057021C"/>
    <w:rsid w:val="00586A85"/>
    <w:rsid w:val="005B3434"/>
    <w:rsid w:val="005C5EB6"/>
    <w:rsid w:val="005D5B56"/>
    <w:rsid w:val="005E775A"/>
    <w:rsid w:val="005F2C7B"/>
    <w:rsid w:val="005F4D04"/>
    <w:rsid w:val="006025B4"/>
    <w:rsid w:val="006054F8"/>
    <w:rsid w:val="0061061C"/>
    <w:rsid w:val="0062696F"/>
    <w:rsid w:val="006354B8"/>
    <w:rsid w:val="00644987"/>
    <w:rsid w:val="0065419A"/>
    <w:rsid w:val="00654220"/>
    <w:rsid w:val="00663366"/>
    <w:rsid w:val="00663B94"/>
    <w:rsid w:val="00666CD2"/>
    <w:rsid w:val="00667BD4"/>
    <w:rsid w:val="00677F66"/>
    <w:rsid w:val="00684926"/>
    <w:rsid w:val="00692881"/>
    <w:rsid w:val="006A536B"/>
    <w:rsid w:val="006B7A7C"/>
    <w:rsid w:val="006C3B02"/>
    <w:rsid w:val="006D2006"/>
    <w:rsid w:val="006D4071"/>
    <w:rsid w:val="006E0D41"/>
    <w:rsid w:val="006E4E94"/>
    <w:rsid w:val="006F7C4D"/>
    <w:rsid w:val="00703445"/>
    <w:rsid w:val="007113CF"/>
    <w:rsid w:val="00714758"/>
    <w:rsid w:val="00730BEE"/>
    <w:rsid w:val="0073101E"/>
    <w:rsid w:val="00735153"/>
    <w:rsid w:val="00741092"/>
    <w:rsid w:val="00745421"/>
    <w:rsid w:val="00746812"/>
    <w:rsid w:val="007654F9"/>
    <w:rsid w:val="00766DD5"/>
    <w:rsid w:val="007A4219"/>
    <w:rsid w:val="007A6DDB"/>
    <w:rsid w:val="007C422D"/>
    <w:rsid w:val="007D0048"/>
    <w:rsid w:val="007E2E92"/>
    <w:rsid w:val="007E40DE"/>
    <w:rsid w:val="007F5739"/>
    <w:rsid w:val="0080200C"/>
    <w:rsid w:val="008036C2"/>
    <w:rsid w:val="00814110"/>
    <w:rsid w:val="0082561A"/>
    <w:rsid w:val="00831B46"/>
    <w:rsid w:val="0083389E"/>
    <w:rsid w:val="00846B2E"/>
    <w:rsid w:val="008517A9"/>
    <w:rsid w:val="00867D14"/>
    <w:rsid w:val="00872F6C"/>
    <w:rsid w:val="0088632D"/>
    <w:rsid w:val="00890186"/>
    <w:rsid w:val="008926F7"/>
    <w:rsid w:val="0089287C"/>
    <w:rsid w:val="00894164"/>
    <w:rsid w:val="008A7510"/>
    <w:rsid w:val="008B1EB1"/>
    <w:rsid w:val="008B672F"/>
    <w:rsid w:val="008C68AE"/>
    <w:rsid w:val="008C78BD"/>
    <w:rsid w:val="008E165F"/>
    <w:rsid w:val="008E3B3F"/>
    <w:rsid w:val="008E5CC6"/>
    <w:rsid w:val="008F0C19"/>
    <w:rsid w:val="008F342A"/>
    <w:rsid w:val="00900D90"/>
    <w:rsid w:val="00906080"/>
    <w:rsid w:val="00916D74"/>
    <w:rsid w:val="009354D6"/>
    <w:rsid w:val="009430C2"/>
    <w:rsid w:val="00964838"/>
    <w:rsid w:val="00970A98"/>
    <w:rsid w:val="00970F7B"/>
    <w:rsid w:val="00981ECB"/>
    <w:rsid w:val="00983B6A"/>
    <w:rsid w:val="009964B2"/>
    <w:rsid w:val="009B4244"/>
    <w:rsid w:val="009C781F"/>
    <w:rsid w:val="009D00E6"/>
    <w:rsid w:val="009D3E39"/>
    <w:rsid w:val="009E6170"/>
    <w:rsid w:val="009F79AD"/>
    <w:rsid w:val="00A4484F"/>
    <w:rsid w:val="00A60E33"/>
    <w:rsid w:val="00A6112A"/>
    <w:rsid w:val="00A76D4B"/>
    <w:rsid w:val="00A77C47"/>
    <w:rsid w:val="00A9119C"/>
    <w:rsid w:val="00AA2969"/>
    <w:rsid w:val="00AA4549"/>
    <w:rsid w:val="00AB0A11"/>
    <w:rsid w:val="00AB0CFC"/>
    <w:rsid w:val="00AB6691"/>
    <w:rsid w:val="00AC1E72"/>
    <w:rsid w:val="00AC5144"/>
    <w:rsid w:val="00AD2509"/>
    <w:rsid w:val="00AD3F7A"/>
    <w:rsid w:val="00AD6FA5"/>
    <w:rsid w:val="00AD77C5"/>
    <w:rsid w:val="00AE0098"/>
    <w:rsid w:val="00AE519B"/>
    <w:rsid w:val="00AF6377"/>
    <w:rsid w:val="00B05543"/>
    <w:rsid w:val="00B13014"/>
    <w:rsid w:val="00B21B25"/>
    <w:rsid w:val="00B25C4D"/>
    <w:rsid w:val="00B33B19"/>
    <w:rsid w:val="00B404E6"/>
    <w:rsid w:val="00B4360D"/>
    <w:rsid w:val="00B43E17"/>
    <w:rsid w:val="00B54409"/>
    <w:rsid w:val="00B6244E"/>
    <w:rsid w:val="00B67966"/>
    <w:rsid w:val="00B74DCA"/>
    <w:rsid w:val="00B82278"/>
    <w:rsid w:val="00B82593"/>
    <w:rsid w:val="00B908BB"/>
    <w:rsid w:val="00B96D3F"/>
    <w:rsid w:val="00BA2F89"/>
    <w:rsid w:val="00BC3903"/>
    <w:rsid w:val="00BD7297"/>
    <w:rsid w:val="00BE196A"/>
    <w:rsid w:val="00BE47E0"/>
    <w:rsid w:val="00BF75C8"/>
    <w:rsid w:val="00C14C6B"/>
    <w:rsid w:val="00C1762E"/>
    <w:rsid w:val="00C30A48"/>
    <w:rsid w:val="00C35FA6"/>
    <w:rsid w:val="00C428DF"/>
    <w:rsid w:val="00C43741"/>
    <w:rsid w:val="00C457B8"/>
    <w:rsid w:val="00C52586"/>
    <w:rsid w:val="00C52E56"/>
    <w:rsid w:val="00C57B86"/>
    <w:rsid w:val="00C640FB"/>
    <w:rsid w:val="00C65651"/>
    <w:rsid w:val="00CA1BF1"/>
    <w:rsid w:val="00CB054E"/>
    <w:rsid w:val="00CC232E"/>
    <w:rsid w:val="00CC29AF"/>
    <w:rsid w:val="00CC52D7"/>
    <w:rsid w:val="00CD1D4C"/>
    <w:rsid w:val="00CF6C89"/>
    <w:rsid w:val="00D0449D"/>
    <w:rsid w:val="00D12201"/>
    <w:rsid w:val="00D2360B"/>
    <w:rsid w:val="00D23AB6"/>
    <w:rsid w:val="00D50309"/>
    <w:rsid w:val="00D51AA9"/>
    <w:rsid w:val="00D60DB3"/>
    <w:rsid w:val="00D7264A"/>
    <w:rsid w:val="00D84E43"/>
    <w:rsid w:val="00DA4BE9"/>
    <w:rsid w:val="00DB0C2F"/>
    <w:rsid w:val="00DB3BF6"/>
    <w:rsid w:val="00DC31CC"/>
    <w:rsid w:val="00DC728A"/>
    <w:rsid w:val="00DD2E38"/>
    <w:rsid w:val="00DD51B6"/>
    <w:rsid w:val="00DD597C"/>
    <w:rsid w:val="00DE67E4"/>
    <w:rsid w:val="00E00594"/>
    <w:rsid w:val="00E01920"/>
    <w:rsid w:val="00E155DF"/>
    <w:rsid w:val="00E41B5E"/>
    <w:rsid w:val="00E623AB"/>
    <w:rsid w:val="00E81EDF"/>
    <w:rsid w:val="00E8213B"/>
    <w:rsid w:val="00E9797A"/>
    <w:rsid w:val="00E97A04"/>
    <w:rsid w:val="00EA5D3D"/>
    <w:rsid w:val="00EB0FBF"/>
    <w:rsid w:val="00EB6C63"/>
    <w:rsid w:val="00EC4DE1"/>
    <w:rsid w:val="00EC5E2C"/>
    <w:rsid w:val="00ED4001"/>
    <w:rsid w:val="00ED4637"/>
    <w:rsid w:val="00EE0436"/>
    <w:rsid w:val="00EE7C80"/>
    <w:rsid w:val="00F03382"/>
    <w:rsid w:val="00F23ED2"/>
    <w:rsid w:val="00F41324"/>
    <w:rsid w:val="00F42715"/>
    <w:rsid w:val="00F609FD"/>
    <w:rsid w:val="00F66874"/>
    <w:rsid w:val="00F81345"/>
    <w:rsid w:val="00F859AB"/>
    <w:rsid w:val="00F939D0"/>
    <w:rsid w:val="00F950D0"/>
    <w:rsid w:val="00FA2C26"/>
    <w:rsid w:val="00FA650F"/>
    <w:rsid w:val="00FB6E8E"/>
    <w:rsid w:val="00FB712E"/>
    <w:rsid w:val="022C2410"/>
    <w:rsid w:val="026D0131"/>
    <w:rsid w:val="035B1EEB"/>
    <w:rsid w:val="03643C6B"/>
    <w:rsid w:val="037A1E29"/>
    <w:rsid w:val="04EE43A7"/>
    <w:rsid w:val="05430913"/>
    <w:rsid w:val="066933CB"/>
    <w:rsid w:val="06CE78F2"/>
    <w:rsid w:val="08143E27"/>
    <w:rsid w:val="086A4C04"/>
    <w:rsid w:val="0B6F1F7D"/>
    <w:rsid w:val="0C673246"/>
    <w:rsid w:val="0D7F33C7"/>
    <w:rsid w:val="0DF37BFF"/>
    <w:rsid w:val="0E9D6641"/>
    <w:rsid w:val="1418619C"/>
    <w:rsid w:val="14975605"/>
    <w:rsid w:val="14A01541"/>
    <w:rsid w:val="15FE575C"/>
    <w:rsid w:val="1677277F"/>
    <w:rsid w:val="174F6B4B"/>
    <w:rsid w:val="18270B7C"/>
    <w:rsid w:val="185505DC"/>
    <w:rsid w:val="18C666BE"/>
    <w:rsid w:val="1A53344A"/>
    <w:rsid w:val="1AA87F19"/>
    <w:rsid w:val="1B363C6A"/>
    <w:rsid w:val="1B8A5B02"/>
    <w:rsid w:val="1BE4237E"/>
    <w:rsid w:val="1DD376B7"/>
    <w:rsid w:val="1E911FB2"/>
    <w:rsid w:val="206D37DF"/>
    <w:rsid w:val="233002B5"/>
    <w:rsid w:val="236036FD"/>
    <w:rsid w:val="23A05440"/>
    <w:rsid w:val="23C50556"/>
    <w:rsid w:val="24960C0F"/>
    <w:rsid w:val="277874DD"/>
    <w:rsid w:val="2933258B"/>
    <w:rsid w:val="298E16C7"/>
    <w:rsid w:val="2B7C5C81"/>
    <w:rsid w:val="2E162202"/>
    <w:rsid w:val="2F132635"/>
    <w:rsid w:val="30077F05"/>
    <w:rsid w:val="3121340F"/>
    <w:rsid w:val="317A07B0"/>
    <w:rsid w:val="336668FA"/>
    <w:rsid w:val="36316B15"/>
    <w:rsid w:val="368076E6"/>
    <w:rsid w:val="388D7049"/>
    <w:rsid w:val="3A5E67F0"/>
    <w:rsid w:val="3AF80478"/>
    <w:rsid w:val="3C0E0AC1"/>
    <w:rsid w:val="3DE33F68"/>
    <w:rsid w:val="3FB22C0A"/>
    <w:rsid w:val="40447AAF"/>
    <w:rsid w:val="40897464"/>
    <w:rsid w:val="40E1302A"/>
    <w:rsid w:val="42BE08E7"/>
    <w:rsid w:val="43093FBC"/>
    <w:rsid w:val="433A3D7A"/>
    <w:rsid w:val="43A019F4"/>
    <w:rsid w:val="46A13001"/>
    <w:rsid w:val="4A9A51B9"/>
    <w:rsid w:val="4CA37010"/>
    <w:rsid w:val="4DEC7E75"/>
    <w:rsid w:val="4E276A76"/>
    <w:rsid w:val="4F8709AB"/>
    <w:rsid w:val="50C47F64"/>
    <w:rsid w:val="53300D28"/>
    <w:rsid w:val="55CC3E04"/>
    <w:rsid w:val="55E57CB6"/>
    <w:rsid w:val="564B4BD9"/>
    <w:rsid w:val="56696C12"/>
    <w:rsid w:val="57AD6E41"/>
    <w:rsid w:val="580B5AEB"/>
    <w:rsid w:val="5902768A"/>
    <w:rsid w:val="5D1D443F"/>
    <w:rsid w:val="5E337017"/>
    <w:rsid w:val="5FBD11D0"/>
    <w:rsid w:val="61237A57"/>
    <w:rsid w:val="61B402D8"/>
    <w:rsid w:val="62342F4C"/>
    <w:rsid w:val="64F6329D"/>
    <w:rsid w:val="652A577F"/>
    <w:rsid w:val="65E55D8E"/>
    <w:rsid w:val="6898111C"/>
    <w:rsid w:val="6983088A"/>
    <w:rsid w:val="6A485270"/>
    <w:rsid w:val="6B37137A"/>
    <w:rsid w:val="6C145AA4"/>
    <w:rsid w:val="6DFD23E8"/>
    <w:rsid w:val="6F307698"/>
    <w:rsid w:val="702B184D"/>
    <w:rsid w:val="704B76D3"/>
    <w:rsid w:val="709D748C"/>
    <w:rsid w:val="73193673"/>
    <w:rsid w:val="78467F33"/>
    <w:rsid w:val="7A056855"/>
    <w:rsid w:val="7B582B92"/>
    <w:rsid w:val="7D36154A"/>
    <w:rsid w:val="7D8E47C1"/>
    <w:rsid w:val="7E3D508D"/>
    <w:rsid w:val="7E526C62"/>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244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B6244E"/>
    <w:rPr>
      <w:sz w:val="18"/>
      <w:szCs w:val="18"/>
      <w:lang/>
    </w:rPr>
  </w:style>
  <w:style w:type="paragraph" w:styleId="a4">
    <w:name w:val="footer"/>
    <w:basedOn w:val="a"/>
    <w:link w:val="Char0"/>
    <w:uiPriority w:val="99"/>
    <w:unhideWhenUsed/>
    <w:qFormat/>
    <w:rsid w:val="00B6244E"/>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B6244E"/>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rsid w:val="00B6244E"/>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B6244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B6244E"/>
  </w:style>
  <w:style w:type="paragraph" w:customStyle="1" w:styleId="zhongyaotishi">
    <w:name w:val="zhongyaotishi"/>
    <w:basedOn w:val="a"/>
    <w:qFormat/>
    <w:rsid w:val="00B6244E"/>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B6244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B6244E"/>
    <w:pPr>
      <w:widowControl w:val="0"/>
      <w:jc w:val="center"/>
    </w:pPr>
    <w:rPr>
      <w:kern w:val="2"/>
      <w:sz w:val="33"/>
      <w:szCs w:val="22"/>
    </w:rPr>
  </w:style>
  <w:style w:type="paragraph" w:customStyle="1" w:styleId="neirong">
    <w:name w:val="neirong"/>
    <w:basedOn w:val="a"/>
    <w:qFormat/>
    <w:rsid w:val="00B6244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B6244E"/>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B6244E"/>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B6244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6244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B6244E"/>
    <w:pPr>
      <w:widowControl w:val="0"/>
    </w:pPr>
    <w:rPr>
      <w:kern w:val="2"/>
      <w:sz w:val="21"/>
      <w:szCs w:val="22"/>
    </w:rPr>
  </w:style>
  <w:style w:type="paragraph" w:customStyle="1" w:styleId="biaogecenter">
    <w:name w:val="biaoge_center"/>
    <w:basedOn w:val="a"/>
    <w:qFormat/>
    <w:rsid w:val="00B6244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rsid w:val="00B6244E"/>
    <w:pPr>
      <w:jc w:val="both"/>
    </w:pPr>
    <w:rPr>
      <w:kern w:val="2"/>
      <w:sz w:val="21"/>
      <w:szCs w:val="21"/>
    </w:rPr>
  </w:style>
  <w:style w:type="paragraph" w:customStyle="1" w:styleId="biaogeright1">
    <w:name w:val="biaoge_right1"/>
    <w:basedOn w:val="a"/>
    <w:qFormat/>
    <w:rsid w:val="00B6244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B6244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B6244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B6244E"/>
    <w:rPr>
      <w:kern w:val="2"/>
      <w:sz w:val="18"/>
      <w:szCs w:val="18"/>
    </w:rPr>
  </w:style>
  <w:style w:type="character" w:customStyle="1" w:styleId="Char0">
    <w:name w:val="页脚 Char"/>
    <w:link w:val="a4"/>
    <w:uiPriority w:val="99"/>
    <w:semiHidden/>
    <w:qFormat/>
    <w:locked/>
    <w:rsid w:val="00B6244E"/>
    <w:rPr>
      <w:rFonts w:ascii="Times New Roman" w:hAnsi="Times New Roman" w:cs="Times New Roman" w:hint="default"/>
      <w:sz w:val="18"/>
      <w:szCs w:val="18"/>
    </w:rPr>
  </w:style>
  <w:style w:type="character" w:customStyle="1" w:styleId="Char1">
    <w:name w:val="页眉 Char"/>
    <w:link w:val="a5"/>
    <w:uiPriority w:val="99"/>
    <w:semiHidden/>
    <w:locked/>
    <w:rsid w:val="00B6244E"/>
    <w:rPr>
      <w:rFonts w:ascii="Times New Roman" w:hAnsi="Times New Roman" w:cs="Times New Roman" w:hint="default"/>
      <w:sz w:val="18"/>
      <w:szCs w:val="18"/>
    </w:rPr>
  </w:style>
  <w:style w:type="table" w:customStyle="1" w:styleId="dqbgxx">
    <w:name w:val="dqbgxx"/>
    <w:basedOn w:val="a1"/>
    <w:qFormat/>
    <w:rsid w:val="00B6244E"/>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rsid w:val="00B6244E"/>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B6244E"/>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36</cp:revision>
  <dcterms:created xsi:type="dcterms:W3CDTF">2021-06-30T07:28:00Z</dcterms:created>
  <dcterms:modified xsi:type="dcterms:W3CDTF">2022-04-19T09:32:00Z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