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63" w:rsidRDefault="00300F63">
      <w:pPr>
        <w:pStyle w:val="dazhangjie"/>
        <w:ind w:left="0"/>
        <w:jc w:val="both"/>
        <w:rPr>
          <w:b/>
          <w:bCs/>
          <w:color w:val="000000"/>
        </w:rPr>
      </w:pPr>
    </w:p>
    <w:p w:rsidR="00300F63" w:rsidRDefault="00300F63">
      <w:pPr>
        <w:pStyle w:val="dazhangjie"/>
        <w:ind w:left="0"/>
        <w:jc w:val="both"/>
        <w:rPr>
          <w:b/>
          <w:bCs/>
          <w:color w:val="000000"/>
        </w:rPr>
      </w:pPr>
    </w:p>
    <w:p w:rsidR="00300F63" w:rsidRDefault="00300F63">
      <w:pPr>
        <w:pStyle w:val="dazhangjie"/>
        <w:ind w:left="0"/>
        <w:jc w:val="both"/>
        <w:rPr>
          <w:b/>
          <w:bCs/>
          <w:color w:val="000000"/>
        </w:rPr>
      </w:pPr>
    </w:p>
    <w:p w:rsidR="00300F63" w:rsidRDefault="00D71AA1">
      <w:pPr>
        <w:pStyle w:val="dazhangjie"/>
        <w:spacing w:before="240" w:after="120"/>
        <w:rPr>
          <w:rFonts w:ascii="黑体" w:eastAsia="黑体"/>
          <w:b/>
          <w:bCs/>
          <w:color w:val="000000"/>
          <w:sz w:val="36"/>
        </w:rPr>
      </w:pPr>
      <w:r>
        <w:rPr>
          <w:rFonts w:ascii="黑体" w:eastAsia="黑体" w:hint="eastAsia"/>
          <w:b/>
          <w:bCs/>
          <w:color w:val="000000"/>
          <w:sz w:val="36"/>
        </w:rPr>
        <w:t>南银理财珠联璧合鑫悦享1912三个月定开公募人民币理财产品</w:t>
      </w:r>
    </w:p>
    <w:p w:rsidR="00300F63" w:rsidRDefault="008C103F">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300F63" w:rsidRDefault="00300F63">
      <w:pPr>
        <w:pStyle w:val="dazhangjie"/>
        <w:spacing w:before="240" w:after="120"/>
        <w:rPr>
          <w:rFonts w:ascii="黑体" w:eastAsia="黑体" w:hAnsi="黑体"/>
          <w:b/>
          <w:bCs/>
          <w:color w:val="000000"/>
          <w:sz w:val="36"/>
        </w:rPr>
      </w:pPr>
    </w:p>
    <w:p w:rsidR="00300F63" w:rsidRDefault="00300F63">
      <w:pPr>
        <w:pStyle w:val="dazhangjie"/>
        <w:spacing w:before="240" w:after="120"/>
        <w:rPr>
          <w:rFonts w:ascii="黑体" w:eastAsia="黑体" w:hAnsi="黑体"/>
          <w:b/>
          <w:bCs/>
          <w:color w:val="000000"/>
          <w:sz w:val="36"/>
        </w:rPr>
      </w:pPr>
    </w:p>
    <w:p w:rsidR="00300F63" w:rsidRDefault="00300F63">
      <w:pPr>
        <w:pStyle w:val="dazhangjie"/>
        <w:spacing w:before="240" w:after="120"/>
        <w:rPr>
          <w:rFonts w:ascii="黑体" w:eastAsia="黑体" w:hAnsi="黑体"/>
          <w:b/>
          <w:bCs/>
          <w:color w:val="000000"/>
          <w:sz w:val="36"/>
        </w:rPr>
      </w:pPr>
    </w:p>
    <w:p w:rsidR="00300F63" w:rsidRDefault="00300F63">
      <w:pPr>
        <w:pStyle w:val="dazhangjie"/>
        <w:spacing w:before="240" w:after="120"/>
        <w:rPr>
          <w:rFonts w:ascii="黑体" w:eastAsia="黑体" w:hAnsi="黑体"/>
          <w:b/>
          <w:bCs/>
          <w:color w:val="000000"/>
          <w:sz w:val="36"/>
        </w:rPr>
      </w:pPr>
    </w:p>
    <w:p w:rsidR="00300F63" w:rsidRDefault="00300F63">
      <w:pPr>
        <w:pStyle w:val="dazhangjie"/>
        <w:spacing w:before="240" w:after="120"/>
        <w:rPr>
          <w:rFonts w:ascii="黑体" w:eastAsia="黑体" w:hAnsi="黑体"/>
          <w:b/>
          <w:bCs/>
          <w:color w:val="000000"/>
          <w:sz w:val="36"/>
        </w:rPr>
      </w:pPr>
    </w:p>
    <w:p w:rsidR="00300F63" w:rsidRDefault="00300F63">
      <w:pPr>
        <w:pStyle w:val="dazhangjie"/>
        <w:spacing w:before="240" w:after="120"/>
        <w:ind w:left="0"/>
        <w:jc w:val="both"/>
        <w:rPr>
          <w:rFonts w:ascii="黑体" w:eastAsia="黑体" w:hAnsi="黑体"/>
          <w:b/>
          <w:bCs/>
          <w:color w:val="000000"/>
          <w:sz w:val="36"/>
        </w:rPr>
      </w:pPr>
    </w:p>
    <w:p w:rsidR="00300F63" w:rsidRDefault="00D71AA1">
      <w:pPr>
        <w:pStyle w:val="dazhangjie"/>
        <w:spacing w:before="240" w:after="120"/>
        <w:rPr>
          <w:b/>
          <w:bCs/>
          <w:color w:val="000000"/>
        </w:rPr>
      </w:pPr>
      <w:r>
        <w:rPr>
          <w:rFonts w:hint="eastAsia"/>
          <w:b/>
          <w:bCs/>
          <w:color w:val="000000"/>
        </w:rPr>
        <w:t>产品</w:t>
      </w:r>
      <w:r>
        <w:rPr>
          <w:b/>
          <w:bCs/>
          <w:color w:val="000000"/>
        </w:rPr>
        <w:t>管理人:南银理财有限责任公司</w:t>
      </w:r>
    </w:p>
    <w:p w:rsidR="00300F63" w:rsidRDefault="00D71AA1">
      <w:pPr>
        <w:pStyle w:val="dazhangjie"/>
        <w:spacing w:before="240" w:after="120"/>
        <w:rPr>
          <w:b/>
          <w:bCs/>
          <w:color w:val="000000"/>
        </w:rPr>
      </w:pPr>
      <w:r>
        <w:rPr>
          <w:rFonts w:hint="eastAsia"/>
          <w:b/>
          <w:bCs/>
          <w:color w:val="000000"/>
        </w:rPr>
        <w:t>产品</w:t>
      </w:r>
      <w:r>
        <w:rPr>
          <w:b/>
          <w:bCs/>
          <w:color w:val="000000"/>
        </w:rPr>
        <w:t>托管人:南京银行股份有限公司</w:t>
      </w:r>
    </w:p>
    <w:p w:rsidR="00300F63" w:rsidRDefault="00D71AA1">
      <w:pPr>
        <w:widowControl/>
        <w:jc w:val="left"/>
        <w:rPr>
          <w:b/>
          <w:bCs/>
          <w:color w:val="000000"/>
        </w:rPr>
      </w:pPr>
      <w:r>
        <w:rPr>
          <w:rFonts w:hint="eastAsia"/>
          <w:b/>
          <w:bCs/>
          <w:color w:val="000000"/>
        </w:rPr>
        <w:br w:type="page"/>
      </w:r>
    </w:p>
    <w:p w:rsidR="00300F63" w:rsidRDefault="00D71AA1">
      <w:pPr>
        <w:pStyle w:val="dazhangjie"/>
        <w:rPr>
          <w:color w:val="000000"/>
        </w:rPr>
      </w:pPr>
      <w:r>
        <w:rPr>
          <w:rFonts w:hAnsi="Calibri" w:hint="eastAsia"/>
          <w:b/>
          <w:color w:val="000000"/>
        </w:rPr>
        <w:t>§1 产品概况</w:t>
      </w:r>
    </w:p>
    <w:p w:rsidR="00300F63" w:rsidRDefault="00300F63">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300F63">
        <w:tc>
          <w:tcPr>
            <w:tcW w:w="281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pPr>
            <w:r>
              <w:rPr>
                <w:rFonts w:hint="eastAsia"/>
              </w:rPr>
              <w:t>南银理财珠联璧合鑫悦享1912三个月定开公募人民币理财产品</w:t>
            </w:r>
          </w:p>
        </w:tc>
      </w:tr>
      <w:tr w:rsidR="00300F63">
        <w:tc>
          <w:tcPr>
            <w:tcW w:w="281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pPr>
            <w:r>
              <w:rPr>
                <w:rFonts w:hint="eastAsia"/>
              </w:rPr>
              <w:t>Z7003220000011（投资者可依据该编码在中国理财网www.chinawealth.com.cn查询理财产品相关信息）</w:t>
            </w:r>
          </w:p>
        </w:tc>
      </w:tr>
      <w:tr w:rsidR="00300F63">
        <w:tc>
          <w:tcPr>
            <w:tcW w:w="281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rFonts w:hint="eastAsia"/>
                <w:color w:val="000000"/>
              </w:rPr>
              <w:t>开放式净值型</w:t>
            </w:r>
          </w:p>
        </w:tc>
      </w:tr>
      <w:tr w:rsidR="00300F63">
        <w:tc>
          <w:tcPr>
            <w:tcW w:w="281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color w:val="000000"/>
              </w:rPr>
              <w:t>2019年12月18日</w:t>
            </w:r>
          </w:p>
        </w:tc>
      </w:tr>
      <w:tr w:rsidR="00300F63">
        <w:tc>
          <w:tcPr>
            <w:tcW w:w="281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300F63" w:rsidRDefault="008C103F">
            <w:pPr>
              <w:pStyle w:val="biaogeleft"/>
              <w:wordWrap w:val="0"/>
            </w:pPr>
            <w:r>
              <w:t>5,758,294,879.98份</w:t>
            </w:r>
          </w:p>
        </w:tc>
      </w:tr>
      <w:tr w:rsidR="00300F63">
        <w:tc>
          <w:tcPr>
            <w:tcW w:w="281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300F63" w:rsidRDefault="00AB1296">
            <w:pPr>
              <w:pStyle w:val="biaogeleft"/>
              <w:wordWrap w:val="0"/>
              <w:rPr>
                <w:color w:val="000000"/>
              </w:rPr>
            </w:pPr>
            <w:r w:rsidRPr="00AB1296">
              <w:rPr>
                <w:rFonts w:hint="eastAsia"/>
                <w:color w:val="000000"/>
              </w:rPr>
              <w:t>鑫元基金管理有限公司</w:t>
            </w:r>
          </w:p>
        </w:tc>
      </w:tr>
      <w:tr w:rsidR="00300F63">
        <w:tc>
          <w:tcPr>
            <w:tcW w:w="281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neirong"/>
              <w:wordWrap w:val="0"/>
              <w:rPr>
                <w:color w:val="000000"/>
              </w:rPr>
            </w:pPr>
            <w:r>
              <w:rPr>
                <w:color w:val="000000"/>
              </w:rPr>
              <w:t>南银理财有限责任公司</w:t>
            </w:r>
          </w:p>
        </w:tc>
      </w:tr>
      <w:tr w:rsidR="00300F63">
        <w:tc>
          <w:tcPr>
            <w:tcW w:w="281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left"/>
              <w:wordWrap w:val="0"/>
              <w:rPr>
                <w:color w:val="000000"/>
              </w:rPr>
            </w:pPr>
            <w:r>
              <w:rPr>
                <w:color w:val="000000"/>
              </w:rPr>
              <w:t>南京银行股份有限公司</w:t>
            </w:r>
          </w:p>
        </w:tc>
      </w:tr>
    </w:tbl>
    <w:p w:rsidR="00300F63" w:rsidRDefault="00300F63">
      <w:pPr>
        <w:widowControl/>
        <w:jc w:val="left"/>
        <w:rPr>
          <w:rFonts w:ascii="宋体" w:hAnsi="宋体" w:cs="宋体"/>
          <w:color w:val="000000"/>
          <w:kern w:val="0"/>
          <w:sz w:val="24"/>
          <w:szCs w:val="24"/>
        </w:rPr>
      </w:pPr>
    </w:p>
    <w:p w:rsidR="00300F63" w:rsidRDefault="00D71AA1">
      <w:pPr>
        <w:pStyle w:val="dazhangjie"/>
        <w:rPr>
          <w:color w:val="000000"/>
        </w:rPr>
      </w:pPr>
      <w:r>
        <w:rPr>
          <w:rFonts w:hAnsi="Calibri" w:hint="eastAsia"/>
          <w:b/>
          <w:color w:val="000000"/>
        </w:rPr>
        <w:t>§2  主要财务指标</w:t>
      </w:r>
    </w:p>
    <w:p w:rsidR="00300F63" w:rsidRDefault="00D71AA1">
      <w:pPr>
        <w:pStyle w:val="zhangjiep"/>
        <w:ind w:left="0"/>
        <w:rPr>
          <w:color w:val="000000"/>
        </w:rPr>
      </w:pPr>
      <w:r>
        <w:rPr>
          <w:rFonts w:hint="eastAsia"/>
          <w:b/>
          <w:bCs/>
          <w:color w:val="000000"/>
        </w:rPr>
        <w:t>2.1 主要财务指标</w:t>
      </w:r>
    </w:p>
    <w:p w:rsidR="00300F63" w:rsidRDefault="00D71AA1">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5187"/>
      </w:tblGrid>
      <w:tr w:rsidR="00300F63">
        <w:tc>
          <w:tcPr>
            <w:tcW w:w="4135" w:type="dxa"/>
            <w:noWrap/>
            <w:vAlign w:val="center"/>
          </w:tcPr>
          <w:p w:rsidR="00300F63" w:rsidRDefault="00D71AA1">
            <w:pPr>
              <w:pStyle w:val="a6"/>
              <w:wordWrap w:val="0"/>
              <w:jc w:val="center"/>
              <w:rPr>
                <w:b/>
                <w:bCs/>
                <w:color w:val="000000"/>
              </w:rPr>
            </w:pPr>
            <w:r>
              <w:rPr>
                <w:rFonts w:hint="eastAsia"/>
                <w:b/>
                <w:bCs/>
                <w:color w:val="000000"/>
              </w:rPr>
              <w:t>主要财务指标</w:t>
            </w:r>
          </w:p>
        </w:tc>
        <w:tc>
          <w:tcPr>
            <w:tcW w:w="5187" w:type="dxa"/>
            <w:noWrap/>
          </w:tcPr>
          <w:p w:rsidR="00300F63" w:rsidRDefault="008C103F">
            <w:pPr>
              <w:pStyle w:val="zhangjiep"/>
              <w:jc w:val="center"/>
              <w:rPr>
                <w:b/>
                <w:bCs/>
                <w:color w:val="000000"/>
              </w:rPr>
            </w:pPr>
            <w:r>
              <w:rPr>
                <w:rFonts w:hint="eastAsia"/>
              </w:rPr>
              <w:t>报告期（</w:t>
            </w:r>
            <w:r>
              <w:t>2022年1月1日 - 2022年3月31日）</w:t>
            </w:r>
          </w:p>
        </w:tc>
      </w:tr>
      <w:tr w:rsidR="00300F63">
        <w:tc>
          <w:tcPr>
            <w:tcW w:w="4135" w:type="dxa"/>
            <w:noWrap/>
            <w:vAlign w:val="center"/>
          </w:tcPr>
          <w:p w:rsidR="00300F63" w:rsidRDefault="00D71AA1">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5187" w:type="dxa"/>
            <w:noWrap/>
            <w:vAlign w:val="center"/>
          </w:tcPr>
          <w:p w:rsidR="00300F63" w:rsidRDefault="008C103F">
            <w:pPr>
              <w:pStyle w:val="biaogeright"/>
              <w:jc w:val="center"/>
              <w:rPr>
                <w:b/>
                <w:bCs/>
                <w:color w:val="000000"/>
              </w:rPr>
            </w:pPr>
            <w:r>
              <w:rPr>
                <w:color w:val="000000"/>
              </w:rPr>
              <w:t>5,864,709,208.82</w:t>
            </w:r>
          </w:p>
        </w:tc>
      </w:tr>
      <w:tr w:rsidR="00300F63">
        <w:tc>
          <w:tcPr>
            <w:tcW w:w="4135" w:type="dxa"/>
            <w:noWrap/>
            <w:vAlign w:val="center"/>
          </w:tcPr>
          <w:p w:rsidR="00300F63" w:rsidRDefault="00D71AA1">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5187" w:type="dxa"/>
            <w:noWrap/>
            <w:vAlign w:val="center"/>
          </w:tcPr>
          <w:p w:rsidR="00300F63" w:rsidRDefault="008C103F">
            <w:pPr>
              <w:pStyle w:val="biaogeright"/>
              <w:jc w:val="center"/>
              <w:rPr>
                <w:b/>
                <w:bCs/>
                <w:color w:val="000000"/>
              </w:rPr>
            </w:pPr>
            <w:r>
              <w:rPr>
                <w:color w:val="000000"/>
              </w:rPr>
              <w:t>1.0184</w:t>
            </w:r>
          </w:p>
        </w:tc>
      </w:tr>
      <w:tr w:rsidR="00300F63">
        <w:tc>
          <w:tcPr>
            <w:tcW w:w="4135" w:type="dxa"/>
            <w:noWrap/>
            <w:vAlign w:val="center"/>
          </w:tcPr>
          <w:p w:rsidR="00300F63" w:rsidRDefault="00D71AA1">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5187" w:type="dxa"/>
            <w:noWrap/>
            <w:vAlign w:val="center"/>
          </w:tcPr>
          <w:p w:rsidR="00300F63" w:rsidRDefault="008C103F">
            <w:pPr>
              <w:pStyle w:val="biaogeright"/>
              <w:jc w:val="center"/>
              <w:rPr>
                <w:b/>
                <w:bCs/>
                <w:color w:val="000000"/>
              </w:rPr>
            </w:pPr>
            <w:r>
              <w:rPr>
                <w:color w:val="000000"/>
              </w:rPr>
              <w:t>1.1059</w:t>
            </w:r>
          </w:p>
        </w:tc>
      </w:tr>
    </w:tbl>
    <w:p w:rsidR="00300F63" w:rsidRDefault="00D71AA1">
      <w:pPr>
        <w:pStyle w:val="zhangjiep"/>
        <w:ind w:left="0"/>
        <w:rPr>
          <w:b/>
          <w:bCs/>
          <w:color w:val="000000"/>
        </w:rPr>
      </w:pPr>
      <w:r>
        <w:rPr>
          <w:rFonts w:hint="eastAsia"/>
        </w:rPr>
        <w:t>注：产品净值可能存在未扣除管理人及投资合作机构业绩报酬、赎回费等费用（如有）的情况，实际收益以兑付为准</w:t>
      </w:r>
    </w:p>
    <w:p w:rsidR="00300F63" w:rsidRDefault="00300F63">
      <w:pPr>
        <w:widowControl/>
        <w:jc w:val="left"/>
        <w:rPr>
          <w:rFonts w:ascii="宋体" w:hAnsi="宋体" w:cs="宋体"/>
          <w:color w:val="000000"/>
          <w:kern w:val="0"/>
          <w:sz w:val="24"/>
          <w:szCs w:val="24"/>
        </w:rPr>
      </w:pPr>
    </w:p>
    <w:p w:rsidR="00300F63" w:rsidRDefault="00D71AA1">
      <w:pPr>
        <w:pStyle w:val="dazhangjie"/>
        <w:rPr>
          <w:color w:val="000000"/>
        </w:rPr>
      </w:pPr>
      <w:r>
        <w:rPr>
          <w:rFonts w:hAnsi="Calibri" w:hint="eastAsia"/>
          <w:b/>
          <w:color w:val="000000"/>
        </w:rPr>
        <w:t>§3  管理人报告</w:t>
      </w:r>
    </w:p>
    <w:p w:rsidR="001553C2" w:rsidRDefault="001553C2" w:rsidP="001553C2">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r>
        <w:rPr>
          <w:rFonts w:hint="eastAsia"/>
          <w:b/>
          <w:color w:val="000000"/>
        </w:rPr>
        <w:tab/>
      </w:r>
    </w:p>
    <w:p w:rsidR="00A820B9" w:rsidRPr="00DF73F2" w:rsidRDefault="00A820B9" w:rsidP="00A820B9">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国内经济面临需求收缩、供给冲击、预期转弱三重压力，稳增长成为政策主线。货币政策方面，发挥货币政策工具的总量和结构双重功能，为实体经济提供更有力支持。财政政策方面，财政支持规模同比增长超</w:t>
      </w:r>
      <w:r w:rsidRPr="00DF73F2">
        <w:rPr>
          <w:rFonts w:ascii="宋体" w:hAnsi="宋体"/>
          <w:color w:val="000000"/>
          <w:kern w:val="0"/>
          <w:sz w:val="24"/>
          <w:szCs w:val="24"/>
        </w:rPr>
        <w:t>2</w:t>
      </w:r>
      <w:r w:rsidRPr="00DF73F2">
        <w:rPr>
          <w:rFonts w:ascii="宋体" w:hAnsi="宋体" w:hint="eastAsia"/>
          <w:color w:val="000000"/>
          <w:kern w:val="0"/>
          <w:sz w:val="24"/>
          <w:szCs w:val="24"/>
        </w:rPr>
        <w:t>万亿，财政赤字率为</w:t>
      </w:r>
      <w:r w:rsidRPr="00DF73F2">
        <w:rPr>
          <w:rFonts w:ascii="宋体" w:hAnsi="宋体"/>
          <w:color w:val="000000"/>
          <w:kern w:val="0"/>
          <w:sz w:val="24"/>
          <w:szCs w:val="24"/>
        </w:rPr>
        <w:t>2.8%</w:t>
      </w:r>
      <w:r w:rsidRPr="00DF73F2">
        <w:rPr>
          <w:rFonts w:ascii="宋体" w:hAnsi="宋体" w:hint="eastAsia"/>
          <w:color w:val="000000"/>
          <w:kern w:val="0"/>
          <w:sz w:val="24"/>
          <w:szCs w:val="24"/>
        </w:rPr>
        <w:t>左右，维持地方政府专项债额度</w:t>
      </w:r>
      <w:r w:rsidRPr="00DF73F2">
        <w:rPr>
          <w:rFonts w:ascii="宋体" w:hAnsi="宋体"/>
          <w:color w:val="000000"/>
          <w:kern w:val="0"/>
          <w:sz w:val="24"/>
          <w:szCs w:val="24"/>
        </w:rPr>
        <w:t>3.65</w:t>
      </w:r>
      <w:r w:rsidRPr="00DF73F2">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A820B9" w:rsidRPr="00DF73F2" w:rsidRDefault="00A820B9" w:rsidP="00A820B9">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债券市场，一季度整体呈现震荡行情，市场对稳增长政策落地效果存在一定分歧，</w:t>
      </w:r>
      <w:r w:rsidRPr="00DF73F2">
        <w:rPr>
          <w:rFonts w:ascii="宋体" w:hAnsi="宋体"/>
          <w:color w:val="000000"/>
          <w:kern w:val="0"/>
          <w:sz w:val="24"/>
          <w:szCs w:val="24"/>
        </w:rPr>
        <w:t xml:space="preserve"> </w:t>
      </w:r>
      <w:r w:rsidRPr="00DF73F2">
        <w:rPr>
          <w:rFonts w:ascii="宋体" w:hAnsi="宋体"/>
          <w:color w:val="000000"/>
          <w:kern w:val="0"/>
          <w:sz w:val="24"/>
          <w:szCs w:val="24"/>
        </w:rPr>
        <w:lastRenderedPageBreak/>
        <w:t>10</w:t>
      </w:r>
      <w:r w:rsidRPr="00DF73F2">
        <w:rPr>
          <w:rFonts w:ascii="宋体" w:hAnsi="宋体" w:hint="eastAsia"/>
          <w:color w:val="000000"/>
          <w:kern w:val="0"/>
          <w:sz w:val="24"/>
          <w:szCs w:val="24"/>
        </w:rPr>
        <w:t>年期国债在</w:t>
      </w:r>
      <w:r w:rsidRPr="00DF73F2">
        <w:rPr>
          <w:rFonts w:ascii="宋体" w:hAnsi="宋体"/>
          <w:color w:val="000000"/>
          <w:kern w:val="0"/>
          <w:sz w:val="24"/>
          <w:szCs w:val="24"/>
        </w:rPr>
        <w:t>2.68%-2.85%</w:t>
      </w:r>
      <w:r w:rsidRPr="00DF73F2">
        <w:rPr>
          <w:rFonts w:ascii="宋体" w:hAnsi="宋体" w:hint="eastAsia"/>
          <w:color w:val="000000"/>
          <w:kern w:val="0"/>
          <w:sz w:val="24"/>
          <w:szCs w:val="24"/>
        </w:rPr>
        <w:t>区间内震荡，交易操作空间相对较窄。具体来看，</w:t>
      </w:r>
      <w:r w:rsidRPr="00DF73F2">
        <w:rPr>
          <w:rFonts w:ascii="宋体" w:hAnsi="宋体"/>
          <w:color w:val="000000"/>
          <w:kern w:val="0"/>
          <w:sz w:val="24"/>
          <w:szCs w:val="24"/>
        </w:rPr>
        <w:t>1</w:t>
      </w:r>
      <w:r w:rsidRPr="00DF73F2">
        <w:rPr>
          <w:rFonts w:ascii="宋体" w:hAnsi="宋体" w:hint="eastAsia"/>
          <w:color w:val="000000"/>
          <w:kern w:val="0"/>
          <w:sz w:val="24"/>
          <w:szCs w:val="24"/>
        </w:rPr>
        <w:t>月中旬央行超预期下调</w:t>
      </w:r>
      <w:r w:rsidRPr="00DF73F2">
        <w:rPr>
          <w:rFonts w:ascii="宋体" w:hAnsi="宋体"/>
          <w:color w:val="000000"/>
          <w:kern w:val="0"/>
          <w:sz w:val="24"/>
          <w:szCs w:val="24"/>
        </w:rPr>
        <w:t>MLF</w:t>
      </w:r>
      <w:r w:rsidRPr="00DF73F2">
        <w:rPr>
          <w:rFonts w:ascii="宋体" w:hAnsi="宋体" w:hint="eastAsia"/>
          <w:color w:val="000000"/>
          <w:kern w:val="0"/>
          <w:sz w:val="24"/>
          <w:szCs w:val="24"/>
        </w:rPr>
        <w:t>及公开市场操作利率</w:t>
      </w:r>
      <w:r w:rsidRPr="00DF73F2">
        <w:rPr>
          <w:rFonts w:ascii="宋体" w:hAnsi="宋体"/>
          <w:color w:val="000000"/>
          <w:kern w:val="0"/>
          <w:sz w:val="24"/>
          <w:szCs w:val="24"/>
        </w:rPr>
        <w:t>10BP</w:t>
      </w:r>
      <w:r w:rsidRPr="00DF73F2">
        <w:rPr>
          <w:rFonts w:ascii="宋体" w:hAnsi="宋体" w:hint="eastAsia"/>
          <w:color w:val="000000"/>
          <w:kern w:val="0"/>
          <w:sz w:val="24"/>
          <w:szCs w:val="24"/>
        </w:rPr>
        <w:t>，点燃市场做多热情，</w:t>
      </w:r>
      <w:r w:rsidRPr="00DF73F2">
        <w:rPr>
          <w:rFonts w:ascii="宋体" w:hAnsi="宋体"/>
          <w:color w:val="000000"/>
          <w:kern w:val="0"/>
          <w:sz w:val="24"/>
          <w:szCs w:val="24"/>
        </w:rPr>
        <w:t>10</w:t>
      </w:r>
      <w:r w:rsidRPr="00DF73F2">
        <w:rPr>
          <w:rFonts w:ascii="宋体" w:hAnsi="宋体" w:hint="eastAsia"/>
          <w:color w:val="000000"/>
          <w:kern w:val="0"/>
          <w:sz w:val="24"/>
          <w:szCs w:val="24"/>
        </w:rPr>
        <w:t>年期国债利率快速下行至</w:t>
      </w:r>
      <w:r w:rsidRPr="00DF73F2">
        <w:rPr>
          <w:rFonts w:ascii="宋体" w:hAnsi="宋体"/>
          <w:color w:val="000000"/>
          <w:kern w:val="0"/>
          <w:sz w:val="24"/>
          <w:szCs w:val="24"/>
        </w:rPr>
        <w:t>2.70%</w:t>
      </w:r>
      <w:r w:rsidRPr="00DF73F2">
        <w:rPr>
          <w:rFonts w:ascii="宋体" w:hAnsi="宋体" w:hint="eastAsia"/>
          <w:color w:val="000000"/>
          <w:kern w:val="0"/>
          <w:sz w:val="24"/>
          <w:szCs w:val="24"/>
        </w:rPr>
        <w:t>以下。</w:t>
      </w:r>
      <w:r w:rsidRPr="00DF73F2">
        <w:rPr>
          <w:rFonts w:ascii="宋体" w:hAnsi="宋体"/>
          <w:color w:val="000000"/>
          <w:kern w:val="0"/>
          <w:sz w:val="24"/>
          <w:szCs w:val="24"/>
        </w:rPr>
        <w:t>2</w:t>
      </w:r>
      <w:r w:rsidRPr="00DF73F2">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DF73F2">
        <w:rPr>
          <w:rFonts w:ascii="宋体" w:hAnsi="宋体"/>
          <w:color w:val="000000"/>
          <w:kern w:val="0"/>
          <w:sz w:val="24"/>
          <w:szCs w:val="24"/>
        </w:rPr>
        <w:t>2.8%</w:t>
      </w:r>
      <w:r w:rsidRPr="00DF73F2">
        <w:rPr>
          <w:rFonts w:ascii="宋体" w:hAnsi="宋体" w:hint="eastAsia"/>
          <w:color w:val="000000"/>
          <w:kern w:val="0"/>
          <w:sz w:val="24"/>
          <w:szCs w:val="24"/>
        </w:rPr>
        <w:t>以上。</w:t>
      </w:r>
      <w:r w:rsidRPr="00DF73F2">
        <w:rPr>
          <w:rFonts w:ascii="宋体" w:hAnsi="宋体"/>
          <w:color w:val="000000"/>
          <w:kern w:val="0"/>
          <w:sz w:val="24"/>
          <w:szCs w:val="24"/>
        </w:rPr>
        <w:t>2</w:t>
      </w:r>
      <w:r w:rsidRPr="00DF73F2">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DF73F2">
        <w:rPr>
          <w:rFonts w:ascii="宋体" w:hAnsi="宋体"/>
          <w:color w:val="000000"/>
          <w:kern w:val="0"/>
          <w:sz w:val="24"/>
          <w:szCs w:val="24"/>
        </w:rPr>
        <w:t>3</w:t>
      </w:r>
      <w:r w:rsidRPr="00DF73F2">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DF73F2">
        <w:rPr>
          <w:rFonts w:ascii="宋体" w:hAnsi="宋体"/>
          <w:color w:val="000000"/>
          <w:kern w:val="0"/>
          <w:sz w:val="24"/>
          <w:szCs w:val="24"/>
        </w:rPr>
        <w:t>2.8%</w:t>
      </w:r>
      <w:r w:rsidRPr="00DF73F2">
        <w:rPr>
          <w:rFonts w:ascii="宋体" w:hAnsi="宋体" w:hint="eastAsia"/>
          <w:color w:val="000000"/>
          <w:kern w:val="0"/>
          <w:sz w:val="24"/>
          <w:szCs w:val="24"/>
        </w:rPr>
        <w:t>附近来回震荡。</w:t>
      </w:r>
    </w:p>
    <w:p w:rsidR="00A820B9" w:rsidRPr="00DF73F2" w:rsidRDefault="00A820B9" w:rsidP="00A820B9">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展望后市，稳增长压力下，国内货币政策“以我为主”，宽货币的政策取向未变。在部分固收</w:t>
      </w:r>
      <w:r w:rsidRPr="00DF73F2">
        <w:rPr>
          <w:rFonts w:ascii="宋体" w:hAnsi="宋体"/>
          <w:color w:val="000000"/>
          <w:kern w:val="0"/>
          <w:sz w:val="24"/>
          <w:szCs w:val="24"/>
        </w:rPr>
        <w:t>+</w:t>
      </w:r>
      <w:r w:rsidRPr="00DF73F2">
        <w:rPr>
          <w:rFonts w:ascii="宋体" w:hAnsi="宋体" w:hint="eastAsia"/>
          <w:color w:val="000000"/>
          <w:kern w:val="0"/>
          <w:sz w:val="24"/>
          <w:szCs w:val="24"/>
        </w:rPr>
        <w:t>基金赎回压力释放后，市场资金向偏债型产品回流，债市交易情绪回暖。</w:t>
      </w:r>
      <w:r w:rsidRPr="00DF73F2">
        <w:rPr>
          <w:rFonts w:ascii="宋体" w:hAnsi="宋体"/>
          <w:color w:val="000000"/>
          <w:kern w:val="0"/>
          <w:sz w:val="24"/>
          <w:szCs w:val="24"/>
        </w:rPr>
        <w:t>4</w:t>
      </w:r>
      <w:r w:rsidRPr="00DF73F2">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A820B9" w:rsidRPr="00DF73F2" w:rsidRDefault="00A820B9" w:rsidP="00A820B9">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鑫悦享系列产品围绕稳健回报的收益目标进行操作，在流动性安全和资金成本可控的条件下适当增加产品杠杆增厚收益；同时把握市场走势，灵活调整产品久期结构，使得产品净值在合理区间内保持稳定。基于对后市的判断，产品将继续优选信用资质较好、收益率相对较高的信用债作为底仓保证长期运作收益，同时通过对负债端现金流和短期资产收益率的合理判断，对产品的流动性与风险结构进行动态调整，实现产品稳健增值目标。</w:t>
      </w:r>
    </w:p>
    <w:p w:rsidR="00A820B9" w:rsidRDefault="00A820B9" w:rsidP="00A820B9">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A820B9" w:rsidRPr="00DF73F2" w:rsidRDefault="00A820B9" w:rsidP="00A820B9">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今年以来央行货币政策整体稳健宽松，本系列产品投资操作稳健，提前做好市场关键时点资金储备，保障流动性安全。未来产品将继续保持稳健的投资风格，结合历史经验和情景模拟对关键时点流动性情况进行预判，有效管理资产负债在流动性上的匹配程度，防范产品流动性风险。</w:t>
      </w:r>
    </w:p>
    <w:p w:rsidR="00300F63" w:rsidRDefault="00D71AA1">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8C103F" w:rsidRDefault="008C103F">
      <w:pPr>
        <w:spacing w:line="360" w:lineRule="auto"/>
        <w:ind w:firstLineChars="200" w:firstLine="480"/>
        <w:rPr>
          <w:rFonts w:ascii="宋体" w:hAnsi="宋体"/>
          <w:color w:val="000000"/>
          <w:kern w:val="0"/>
          <w:sz w:val="24"/>
          <w:szCs w:val="24"/>
        </w:rPr>
      </w:pPr>
      <w:r>
        <w:rPr>
          <w:rFonts w:ascii="宋体" w:hAnsi="宋体"/>
          <w:color w:val="000000"/>
          <w:kern w:val="0"/>
          <w:sz w:val="24"/>
          <w:szCs w:val="24"/>
        </w:rPr>
        <w:t>截至报告期末,本产品份额净值为1.0184元。</w:t>
      </w:r>
    </w:p>
    <w:p w:rsidR="00300F63" w:rsidRDefault="00300F63">
      <w:pPr>
        <w:spacing w:line="360" w:lineRule="auto"/>
        <w:ind w:firstLineChars="200" w:firstLine="480"/>
        <w:rPr>
          <w:rFonts w:ascii="宋体" w:hAnsi="宋体"/>
          <w:sz w:val="24"/>
          <w:szCs w:val="24"/>
        </w:rPr>
      </w:pPr>
    </w:p>
    <w:p w:rsidR="00300F63" w:rsidRDefault="00D71AA1">
      <w:pPr>
        <w:pStyle w:val="dazhangjie"/>
        <w:rPr>
          <w:color w:val="000000"/>
        </w:rPr>
      </w:pPr>
      <w:r>
        <w:rPr>
          <w:rFonts w:hAnsi="Calibri" w:hint="eastAsia"/>
          <w:b/>
          <w:color w:val="000000"/>
        </w:rPr>
        <w:t>§4  投资组合报告</w:t>
      </w:r>
    </w:p>
    <w:p w:rsidR="00300F63" w:rsidRDefault="00D71AA1">
      <w:pPr>
        <w:pStyle w:val="zhangjiep"/>
        <w:ind w:left="0"/>
      </w:pPr>
      <w:r>
        <w:rPr>
          <w:rFonts w:hint="eastAsia"/>
          <w:b/>
          <w:bCs/>
        </w:rPr>
        <w:lastRenderedPageBreak/>
        <w:t>4.1 报告期末产品资产组合情况</w:t>
      </w:r>
    </w:p>
    <w:tbl>
      <w:tblPr>
        <w:tblW w:w="0" w:type="auto"/>
        <w:tblInd w:w="108" w:type="dxa"/>
        <w:tblLayout w:type="fixed"/>
        <w:tblLook w:val="04A0"/>
      </w:tblPr>
      <w:tblGrid>
        <w:gridCol w:w="891"/>
        <w:gridCol w:w="3220"/>
        <w:gridCol w:w="2425"/>
        <w:gridCol w:w="2395"/>
      </w:tblGrid>
      <w:tr w:rsidR="00300F63">
        <w:tc>
          <w:tcPr>
            <w:tcW w:w="891" w:type="dxa"/>
            <w:tcBorders>
              <w:top w:val="single" w:sz="8" w:space="0" w:color="000000"/>
              <w:left w:val="single" w:sz="8" w:space="0" w:color="000000"/>
              <w:bottom w:val="single" w:sz="8" w:space="0" w:color="000000"/>
              <w:right w:val="single" w:sz="8" w:space="0" w:color="000000"/>
            </w:tcBorders>
            <w:noWrap/>
            <w:vAlign w:val="bottom"/>
          </w:tcPr>
          <w:p w:rsidR="00300F63" w:rsidRDefault="00D71AA1">
            <w:pPr>
              <w:pStyle w:val="biaogecenter"/>
              <w:rPr>
                <w:color w:val="000000"/>
              </w:rPr>
            </w:pPr>
            <w:r>
              <w:rPr>
                <w:rFonts w:hint="eastAsia"/>
                <w:color w:val="000000"/>
              </w:rPr>
              <w:t>序号</w:t>
            </w:r>
          </w:p>
        </w:tc>
        <w:tc>
          <w:tcPr>
            <w:tcW w:w="3220" w:type="dxa"/>
            <w:tcBorders>
              <w:top w:val="single" w:sz="8" w:space="0" w:color="000000"/>
              <w:left w:val="single" w:sz="8" w:space="0" w:color="000000"/>
              <w:bottom w:val="single" w:sz="8" w:space="0" w:color="000000"/>
              <w:right w:val="single" w:sz="8" w:space="0" w:color="000000"/>
            </w:tcBorders>
            <w:noWrap/>
            <w:vAlign w:val="bottom"/>
          </w:tcPr>
          <w:p w:rsidR="00300F63" w:rsidRDefault="00D71AA1">
            <w:pPr>
              <w:pStyle w:val="biaogecenter"/>
              <w:rPr>
                <w:color w:val="000000"/>
              </w:rPr>
            </w:pPr>
            <w:r>
              <w:rPr>
                <w:rFonts w:hint="eastAsia"/>
                <w:color w:val="000000"/>
              </w:rPr>
              <w:t>资产类别</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300F63" w:rsidRDefault="00D71AA1">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300F63" w:rsidRDefault="00D71AA1">
            <w:pPr>
              <w:pStyle w:val="biaogecenter"/>
              <w:rPr>
                <w:color w:val="000000"/>
              </w:rPr>
            </w:pPr>
            <w:r>
              <w:rPr>
                <w:rFonts w:hint="eastAsia"/>
                <w:color w:val="000000"/>
              </w:rPr>
              <w:t>穿透后占总资产比例</w:t>
            </w:r>
          </w:p>
        </w:tc>
      </w:tr>
      <w:tr w:rsidR="0049537F">
        <w:tc>
          <w:tcPr>
            <w:tcW w:w="891" w:type="dxa"/>
            <w:tcBorders>
              <w:top w:val="single" w:sz="8" w:space="0" w:color="000000"/>
              <w:left w:val="single" w:sz="8" w:space="0" w:color="000000"/>
              <w:bottom w:val="single" w:sz="8" w:space="0" w:color="000000"/>
              <w:right w:val="single" w:sz="8" w:space="0" w:color="000000"/>
            </w:tcBorders>
            <w:noWrap/>
            <w:vAlign w:val="bottom"/>
          </w:tcPr>
          <w:p w:rsidR="0049537F" w:rsidRDefault="0049537F">
            <w:pPr>
              <w:pStyle w:val="biaogecenter"/>
              <w:rPr>
                <w:color w:val="000000"/>
              </w:rPr>
            </w:pPr>
            <w:r>
              <w:rPr>
                <w:rFonts w:hint="eastAsia"/>
                <w:color w:val="000000"/>
              </w:rPr>
              <w:t>1</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rFonts w:hint="eastAsia"/>
                <w:color w:val="000000"/>
              </w:rPr>
              <w:t>固定收益类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100.00%</w:t>
            </w:r>
          </w:p>
        </w:tc>
      </w:tr>
      <w:tr w:rsidR="0049537F">
        <w:tc>
          <w:tcPr>
            <w:tcW w:w="891" w:type="dxa"/>
            <w:tcBorders>
              <w:top w:val="single" w:sz="8" w:space="0" w:color="000000"/>
              <w:left w:val="single" w:sz="8" w:space="0" w:color="000000"/>
              <w:bottom w:val="single" w:sz="8" w:space="0" w:color="000000"/>
              <w:right w:val="single" w:sz="8" w:space="0" w:color="000000"/>
            </w:tcBorders>
            <w:noWrap/>
            <w:vAlign w:val="bottom"/>
          </w:tcPr>
          <w:p w:rsidR="0049537F" w:rsidRDefault="0049537F">
            <w:pPr>
              <w:pStyle w:val="biaogecenter"/>
              <w:rPr>
                <w:color w:val="000000"/>
              </w:rPr>
            </w:pPr>
            <w:r>
              <w:rPr>
                <w:rFonts w:hint="eastAsia"/>
                <w:color w:val="000000"/>
              </w:rPr>
              <w:t>2</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rFonts w:hint="eastAsia"/>
                <w:color w:val="000000"/>
              </w:rPr>
              <w:t>权益类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0.00%</w:t>
            </w:r>
          </w:p>
        </w:tc>
      </w:tr>
      <w:tr w:rsidR="0049537F">
        <w:tc>
          <w:tcPr>
            <w:tcW w:w="891" w:type="dxa"/>
            <w:tcBorders>
              <w:top w:val="single" w:sz="8" w:space="0" w:color="000000"/>
              <w:left w:val="single" w:sz="8" w:space="0" w:color="000000"/>
              <w:bottom w:val="single" w:sz="8" w:space="0" w:color="000000"/>
              <w:right w:val="single" w:sz="8" w:space="0" w:color="000000"/>
            </w:tcBorders>
            <w:noWrap/>
            <w:vAlign w:val="bottom"/>
          </w:tcPr>
          <w:p w:rsidR="0049537F" w:rsidRDefault="0049537F">
            <w:pPr>
              <w:pStyle w:val="biaogecenter"/>
              <w:rPr>
                <w:color w:val="000000"/>
              </w:rPr>
            </w:pPr>
            <w:r>
              <w:rPr>
                <w:rFonts w:hint="eastAsia"/>
                <w:color w:val="000000"/>
              </w:rPr>
              <w:t>3</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rFonts w:hint="eastAsia"/>
                <w:color w:val="000000"/>
              </w:rPr>
              <w:t>商品及金融衍生品类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0.00%</w:t>
            </w:r>
          </w:p>
        </w:tc>
      </w:tr>
      <w:tr w:rsidR="0049537F">
        <w:tc>
          <w:tcPr>
            <w:tcW w:w="891" w:type="dxa"/>
            <w:tcBorders>
              <w:top w:val="single" w:sz="8" w:space="0" w:color="000000"/>
              <w:left w:val="single" w:sz="8" w:space="0" w:color="000000"/>
              <w:bottom w:val="single" w:sz="8" w:space="0" w:color="000000"/>
              <w:right w:val="single" w:sz="8" w:space="0" w:color="000000"/>
            </w:tcBorders>
            <w:noWrap/>
            <w:vAlign w:val="bottom"/>
          </w:tcPr>
          <w:p w:rsidR="0049537F" w:rsidRDefault="0049537F">
            <w:pPr>
              <w:pStyle w:val="biaogecenter"/>
              <w:rPr>
                <w:color w:val="000000"/>
              </w:rPr>
            </w:pPr>
            <w:r>
              <w:rPr>
                <w:rFonts w:hint="eastAsia"/>
                <w:color w:val="000000"/>
              </w:rPr>
              <w:t>4</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rFonts w:hint="eastAsia"/>
                <w:color w:val="000000"/>
              </w:rPr>
              <w:t>混合类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0.00%</w:t>
            </w:r>
          </w:p>
        </w:tc>
      </w:tr>
      <w:tr w:rsidR="0049537F">
        <w:tc>
          <w:tcPr>
            <w:tcW w:w="891" w:type="dxa"/>
            <w:tcBorders>
              <w:top w:val="single" w:sz="8" w:space="0" w:color="000000"/>
              <w:left w:val="single" w:sz="8" w:space="0" w:color="000000"/>
              <w:bottom w:val="single" w:sz="8" w:space="0" w:color="000000"/>
              <w:right w:val="single" w:sz="8" w:space="0" w:color="000000"/>
            </w:tcBorders>
            <w:noWrap/>
            <w:vAlign w:val="bottom"/>
          </w:tcPr>
          <w:p w:rsidR="0049537F" w:rsidRDefault="0049537F">
            <w:pPr>
              <w:pStyle w:val="biaogecenter"/>
              <w:rPr>
                <w:color w:val="000000"/>
              </w:rPr>
            </w:pPr>
            <w:r>
              <w:rPr>
                <w:rFonts w:hint="eastAsia"/>
                <w:color w:val="000000"/>
              </w:rPr>
              <w:t>5</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rFonts w:hint="eastAsia"/>
                <w:color w:val="000000"/>
              </w:rPr>
              <w:t>合计</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49537F" w:rsidRPr="009B3F0A" w:rsidRDefault="0049537F" w:rsidP="002921B9">
            <w:pPr>
              <w:pStyle w:val="biaogecenter"/>
              <w:rPr>
                <w:color w:val="000000"/>
              </w:rPr>
            </w:pPr>
            <w:r w:rsidRPr="009B3F0A">
              <w:rPr>
                <w:color w:val="000000"/>
              </w:rPr>
              <w:t>100.00%</w:t>
            </w:r>
          </w:p>
        </w:tc>
      </w:tr>
    </w:tbl>
    <w:p w:rsidR="00300F63" w:rsidRDefault="00D71AA1">
      <w:pPr>
        <w:pStyle w:val="zhangjiep"/>
        <w:rPr>
          <w:b/>
          <w:bCs/>
          <w:color w:val="000000"/>
        </w:rPr>
      </w:pPr>
      <w:bookmarkStart w:id="0" w:name="_GoBack"/>
      <w:bookmarkEnd w:id="0"/>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300F63">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300F63" w:rsidRDefault="00D71AA1">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300F63" w:rsidRDefault="00D71AA1">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300F63" w:rsidRDefault="00D71AA1">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300F63" w:rsidRDefault="00D71AA1">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300F63" w:rsidRDefault="00D71AA1">
            <w:pPr>
              <w:pStyle w:val="biaogecenter"/>
              <w:wordWrap w:val="0"/>
              <w:rPr>
                <w:color w:val="000000"/>
              </w:rPr>
            </w:pPr>
            <w:r>
              <w:rPr>
                <w:rFonts w:hint="eastAsia"/>
                <w:color w:val="000000"/>
              </w:rPr>
              <w:t>占产品资产净值比例（％）</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ZJQTT202202160001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鑫元基金-鑫安利得57号集合资产管理计划</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207,144,784.17</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3.53</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TYJKX202203100021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同业借款（华夏金租）20220311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199,964,540.22</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3.41</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TYJKX202203140001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同业借款（九鼎金租）20220314</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199,927,270.28</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3.41</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112110300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21兴业银行CD300</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194,828,000.00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3.32</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032000043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20淮安经开PPN001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100,960,300.00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1.72</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190214</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19国开14</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100,429,000.00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1.71</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012103183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21粤垦投资SCP002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100,009,400.00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1.71</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166441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20德建01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100,000,000.00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1.71</w:t>
            </w:r>
          </w:p>
        </w:tc>
      </w:tr>
      <w:tr w:rsidR="0003738E">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167403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20南湖01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99,811,587.67</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1.70</w:t>
            </w:r>
          </w:p>
        </w:tc>
      </w:tr>
      <w:tr w:rsidR="0003738E">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3738E" w:rsidRDefault="0003738E">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112186177</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rPr>
                <w:rFonts w:ascii="宋体" w:hAnsi="宋体" w:cs="宋体"/>
                <w:color w:val="000000"/>
                <w:kern w:val="0"/>
                <w:sz w:val="24"/>
                <w:szCs w:val="24"/>
              </w:rPr>
            </w:pPr>
            <w:r w:rsidRPr="0003738E">
              <w:rPr>
                <w:rFonts w:ascii="宋体" w:hAnsi="宋体" w:cs="宋体" w:hint="eastAsia"/>
                <w:color w:val="000000"/>
                <w:kern w:val="0"/>
                <w:sz w:val="24"/>
                <w:szCs w:val="24"/>
              </w:rPr>
              <w:t>21稠州商行CD025</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97,054,000.00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3738E" w:rsidRPr="0003738E" w:rsidRDefault="0003738E">
            <w:pPr>
              <w:jc w:val="right"/>
              <w:rPr>
                <w:rFonts w:ascii="宋体" w:hAnsi="宋体" w:cs="宋体"/>
                <w:color w:val="000000"/>
                <w:kern w:val="0"/>
                <w:sz w:val="24"/>
                <w:szCs w:val="24"/>
              </w:rPr>
            </w:pPr>
            <w:r w:rsidRPr="0003738E">
              <w:rPr>
                <w:rFonts w:ascii="宋体" w:hAnsi="宋体" w:cs="宋体" w:hint="eastAsia"/>
                <w:color w:val="000000"/>
                <w:kern w:val="0"/>
                <w:sz w:val="24"/>
                <w:szCs w:val="24"/>
              </w:rPr>
              <w:t>1.65</w:t>
            </w:r>
          </w:p>
        </w:tc>
      </w:tr>
    </w:tbl>
    <w:p w:rsidR="00300F63" w:rsidRDefault="00300F63">
      <w:pPr>
        <w:widowControl/>
        <w:jc w:val="left"/>
        <w:rPr>
          <w:rFonts w:ascii="宋体" w:hAnsi="宋体" w:cs="宋体"/>
          <w:b/>
          <w:sz w:val="24"/>
          <w:szCs w:val="24"/>
          <w:shd w:val="clear" w:color="auto" w:fill="FFFFFF"/>
        </w:rPr>
      </w:pPr>
    </w:p>
    <w:p w:rsidR="00300F63" w:rsidRDefault="00D71AA1">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300F63" w:rsidRDefault="00300F63">
      <w:pPr>
        <w:widowControl/>
        <w:jc w:val="left"/>
        <w:rPr>
          <w:b/>
          <w:shd w:val="clear" w:color="auto" w:fill="FFFFFF"/>
        </w:rPr>
      </w:pPr>
    </w:p>
    <w:tbl>
      <w:tblPr>
        <w:tblW w:w="0" w:type="auto"/>
        <w:tblInd w:w="108" w:type="dxa"/>
        <w:tblLayout w:type="fixed"/>
        <w:tblLook w:val="04A0"/>
      </w:tblPr>
      <w:tblGrid>
        <w:gridCol w:w="709"/>
        <w:gridCol w:w="1276"/>
        <w:gridCol w:w="1701"/>
        <w:gridCol w:w="1417"/>
        <w:gridCol w:w="1701"/>
        <w:gridCol w:w="1276"/>
        <w:gridCol w:w="851"/>
      </w:tblGrid>
      <w:tr w:rsidR="00300F63">
        <w:tc>
          <w:tcPr>
            <w:tcW w:w="709"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Ansi="Calibri" w:hint="eastAsia"/>
                <w:shd w:val="clear" w:color="auto" w:fill="FFFFFF"/>
              </w:rPr>
              <w:t>序号</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int="eastAsia"/>
                <w:shd w:val="clear" w:color="auto" w:fill="FFFFFF"/>
              </w:rPr>
              <w:t>融资客户</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Ansi="Calibri" w:hint="eastAsia"/>
                <w:shd w:val="clear" w:color="auto" w:fill="FFFFFF"/>
              </w:rPr>
              <w:t>项目名称</w:t>
            </w:r>
          </w:p>
        </w:tc>
        <w:tc>
          <w:tcPr>
            <w:tcW w:w="1417"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int="eastAsia"/>
                <w:shd w:val="clear" w:color="auto" w:fill="FFFFFF"/>
              </w:rPr>
              <w:t>剩余融资期限</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int="eastAsia"/>
                <w:shd w:val="clear" w:color="auto" w:fill="FFFFFF"/>
              </w:rPr>
              <w:t>到期收益分配</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int="eastAsia"/>
                <w:shd w:val="clear" w:color="auto" w:fill="FFFFFF"/>
              </w:rPr>
              <w:t>交易结构</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int="eastAsia"/>
                <w:shd w:val="clear" w:color="auto" w:fill="FFFFFF"/>
              </w:rPr>
              <w:t>风险状况</w:t>
            </w:r>
          </w:p>
        </w:tc>
      </w:tr>
      <w:tr w:rsidR="0003738E">
        <w:tc>
          <w:tcPr>
            <w:tcW w:w="709" w:type="dxa"/>
            <w:tcBorders>
              <w:top w:val="single" w:sz="8" w:space="0" w:color="000000"/>
              <w:left w:val="single" w:sz="8" w:space="0" w:color="000000"/>
              <w:bottom w:val="single" w:sz="8" w:space="0" w:color="000000"/>
              <w:right w:val="single" w:sz="8" w:space="0" w:color="000000"/>
            </w:tcBorders>
            <w:noWrap/>
            <w:vAlign w:val="center"/>
          </w:tcPr>
          <w:p w:rsidR="0003738E" w:rsidRDefault="0003738E">
            <w:pPr>
              <w:pStyle w:val="biaogecenter"/>
              <w:wordWrap w:val="0"/>
              <w:rPr>
                <w:rFonts w:hAnsi="Calibri"/>
                <w:shd w:val="clear" w:color="auto" w:fill="FFFFFF"/>
              </w:rPr>
            </w:pPr>
            <w:r>
              <w:rPr>
                <w:rFonts w:hAnsi="Calibri" w:hint="eastAsia"/>
                <w:shd w:val="clear" w:color="auto" w:fill="FFFFFF"/>
              </w:rPr>
              <w:t>1</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华夏金融租赁有限公司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同业借款（华夏金租）20220311</w:t>
            </w:r>
          </w:p>
        </w:tc>
        <w:tc>
          <w:tcPr>
            <w:tcW w:w="1417"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70天</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同业借款</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w:t>
            </w:r>
          </w:p>
        </w:tc>
      </w:tr>
      <w:tr w:rsidR="0003738E">
        <w:tc>
          <w:tcPr>
            <w:tcW w:w="709" w:type="dxa"/>
            <w:tcBorders>
              <w:top w:val="single" w:sz="8" w:space="0" w:color="000000"/>
              <w:left w:val="single" w:sz="8" w:space="0" w:color="000000"/>
              <w:bottom w:val="single" w:sz="8" w:space="0" w:color="000000"/>
              <w:right w:val="single" w:sz="8" w:space="0" w:color="000000"/>
            </w:tcBorders>
            <w:noWrap/>
            <w:vAlign w:val="center"/>
          </w:tcPr>
          <w:p w:rsidR="0003738E" w:rsidRDefault="0003738E">
            <w:pPr>
              <w:pStyle w:val="biaogecenter"/>
              <w:wordWrap w:val="0"/>
              <w:rPr>
                <w:rFonts w:hAnsi="Calibri"/>
                <w:shd w:val="clear" w:color="auto" w:fill="FFFFFF"/>
              </w:rPr>
            </w:pPr>
            <w:r>
              <w:rPr>
                <w:rFonts w:hAnsi="Calibri" w:hint="eastAsia"/>
                <w:shd w:val="clear" w:color="auto" w:fill="FFFFFF"/>
              </w:rPr>
              <w:t>2</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河南九鼎金融租赁股份有限公司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同业借款（九鼎金租）20220314</w:t>
            </w:r>
          </w:p>
        </w:tc>
        <w:tc>
          <w:tcPr>
            <w:tcW w:w="1417"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70天</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同业借款</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03738E" w:rsidRPr="0003738E" w:rsidRDefault="0003738E" w:rsidP="0003738E">
            <w:pPr>
              <w:pStyle w:val="biaogecenter"/>
              <w:wordWrap w:val="0"/>
              <w:rPr>
                <w:shd w:val="clear" w:color="auto" w:fill="FFFFFF"/>
              </w:rPr>
            </w:pPr>
            <w:r w:rsidRPr="0003738E">
              <w:rPr>
                <w:rFonts w:hint="eastAsia"/>
                <w:shd w:val="clear" w:color="auto" w:fill="FFFFFF"/>
              </w:rPr>
              <w:t>-</w:t>
            </w:r>
          </w:p>
        </w:tc>
      </w:tr>
    </w:tbl>
    <w:p w:rsidR="00300F63" w:rsidRDefault="00300F63">
      <w:pPr>
        <w:widowControl/>
        <w:jc w:val="left"/>
        <w:rPr>
          <w:rFonts w:ascii="宋体" w:hAnsi="宋体" w:cs="宋体"/>
          <w:color w:val="000000"/>
          <w:kern w:val="0"/>
          <w:sz w:val="24"/>
          <w:szCs w:val="24"/>
        </w:rPr>
      </w:pPr>
    </w:p>
    <w:p w:rsidR="00300F63" w:rsidRDefault="00D71AA1">
      <w:pPr>
        <w:pStyle w:val="dazhangjie"/>
        <w:rPr>
          <w:b/>
          <w:bCs/>
          <w:color w:val="000000"/>
        </w:rPr>
      </w:pPr>
      <w:r>
        <w:rPr>
          <w:rFonts w:hint="eastAsia"/>
          <w:b/>
          <w:bCs/>
          <w:color w:val="000000"/>
        </w:rPr>
        <w:t>§5 投资账户信息</w:t>
      </w:r>
    </w:p>
    <w:tbl>
      <w:tblPr>
        <w:tblW w:w="4950" w:type="pct"/>
        <w:tblInd w:w="88" w:type="dxa"/>
        <w:tblLook w:val="04A0"/>
      </w:tblPr>
      <w:tblGrid>
        <w:gridCol w:w="711"/>
        <w:gridCol w:w="1239"/>
        <w:gridCol w:w="2252"/>
        <w:gridCol w:w="3771"/>
        <w:gridCol w:w="1240"/>
      </w:tblGrid>
      <w:tr w:rsidR="00300F63">
        <w:trPr>
          <w:trHeight w:val="705"/>
        </w:trPr>
        <w:tc>
          <w:tcPr>
            <w:tcW w:w="357" w:type="pct"/>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rPr>
                <w:shd w:val="clear" w:color="auto" w:fill="FFFFFF"/>
              </w:rPr>
            </w:pPr>
            <w:r>
              <w:rPr>
                <w:rFonts w:hAnsi="Calibri" w:hint="eastAsia"/>
                <w:shd w:val="clear" w:color="auto" w:fill="FFFFFF"/>
              </w:rPr>
              <w:lastRenderedPageBreak/>
              <w:t>序号</w:t>
            </w:r>
          </w:p>
        </w:tc>
        <w:tc>
          <w:tcPr>
            <w:tcW w:w="679" w:type="pct"/>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int="eastAsia"/>
                <w:shd w:val="clear" w:color="auto" w:fill="FFFFFF"/>
              </w:rPr>
              <w:t>账户类型</w:t>
            </w:r>
          </w:p>
        </w:tc>
        <w:tc>
          <w:tcPr>
            <w:tcW w:w="1229" w:type="pct"/>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Ansi="Calibri" w:hint="eastAsia"/>
                <w:shd w:val="clear" w:color="auto" w:fill="FFFFFF"/>
              </w:rPr>
              <w:t>账号</w:t>
            </w:r>
          </w:p>
        </w:tc>
        <w:tc>
          <w:tcPr>
            <w:tcW w:w="2052" w:type="pct"/>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int="eastAsia"/>
                <w:shd w:val="clear" w:color="auto" w:fill="FFFFFF"/>
              </w:rPr>
              <w:t>账户名称</w:t>
            </w:r>
          </w:p>
        </w:tc>
        <w:tc>
          <w:tcPr>
            <w:tcW w:w="679" w:type="pct"/>
            <w:tcBorders>
              <w:top w:val="single" w:sz="8" w:space="0" w:color="000000"/>
              <w:left w:val="single" w:sz="8" w:space="0" w:color="000000"/>
              <w:bottom w:val="single" w:sz="6" w:space="0" w:color="000000"/>
              <w:right w:val="single" w:sz="8" w:space="0" w:color="000000"/>
            </w:tcBorders>
            <w:noWrap/>
            <w:vAlign w:val="center"/>
          </w:tcPr>
          <w:p w:rsidR="00300F63" w:rsidRDefault="00D71AA1">
            <w:pPr>
              <w:pStyle w:val="biaogecenter"/>
              <w:wordWrap w:val="0"/>
              <w:rPr>
                <w:shd w:val="clear" w:color="auto" w:fill="FFFFFF"/>
              </w:rPr>
            </w:pPr>
            <w:r>
              <w:rPr>
                <w:rFonts w:hint="eastAsia"/>
                <w:shd w:val="clear" w:color="auto" w:fill="FFFFFF"/>
              </w:rPr>
              <w:t>开户单位</w:t>
            </w:r>
          </w:p>
        </w:tc>
      </w:tr>
      <w:tr w:rsidR="00300F63">
        <w:trPr>
          <w:trHeight w:val="364"/>
        </w:trPr>
        <w:tc>
          <w:tcPr>
            <w:tcW w:w="357" w:type="pct"/>
            <w:tcBorders>
              <w:top w:val="single" w:sz="8" w:space="0" w:color="000000"/>
              <w:left w:val="single" w:sz="8" w:space="0" w:color="000000"/>
              <w:bottom w:val="single" w:sz="8" w:space="0" w:color="000000"/>
              <w:right w:val="single" w:sz="8" w:space="0" w:color="000000"/>
            </w:tcBorders>
            <w:noWrap/>
            <w:vAlign w:val="center"/>
          </w:tcPr>
          <w:p w:rsidR="00300F63" w:rsidRDefault="00D71AA1">
            <w:pPr>
              <w:pStyle w:val="biaogecenter"/>
              <w:wordWrap w:val="0"/>
              <w:rPr>
                <w:shd w:val="clear" w:color="auto" w:fill="FFFFFF"/>
              </w:rPr>
            </w:pPr>
            <w:r>
              <w:rPr>
                <w:rFonts w:hAnsi="Calibri" w:hint="eastAsia"/>
                <w:shd w:val="clear" w:color="auto" w:fill="FFFFFF"/>
              </w:rPr>
              <w:t>1</w:t>
            </w:r>
          </w:p>
        </w:tc>
        <w:tc>
          <w:tcPr>
            <w:tcW w:w="679" w:type="pct"/>
            <w:tcBorders>
              <w:top w:val="single" w:sz="8" w:space="0" w:color="000000"/>
              <w:left w:val="single" w:sz="8" w:space="0" w:color="000000"/>
              <w:bottom w:val="single" w:sz="8" w:space="0" w:color="000000"/>
              <w:right w:val="single" w:sz="8" w:space="0" w:color="000000"/>
            </w:tcBorders>
            <w:noWrap/>
            <w:vAlign w:val="bottom"/>
          </w:tcPr>
          <w:p w:rsidR="00300F63" w:rsidRDefault="00D71AA1">
            <w:pPr>
              <w:pStyle w:val="biaogecenter"/>
              <w:wordWrap w:val="0"/>
              <w:rPr>
                <w:shd w:val="clear" w:color="auto" w:fill="FFFFFF"/>
              </w:rPr>
            </w:pPr>
            <w:r>
              <w:rPr>
                <w:shd w:val="clear" w:color="auto" w:fill="FFFFFF"/>
              </w:rPr>
              <w:t>托管账户</w:t>
            </w:r>
          </w:p>
        </w:tc>
        <w:tc>
          <w:tcPr>
            <w:tcW w:w="1229" w:type="pct"/>
            <w:tcBorders>
              <w:top w:val="single" w:sz="8" w:space="0" w:color="000000"/>
              <w:left w:val="single" w:sz="8" w:space="0" w:color="000000"/>
              <w:bottom w:val="single" w:sz="8" w:space="0" w:color="000000"/>
              <w:right w:val="single" w:sz="8" w:space="0" w:color="000000"/>
            </w:tcBorders>
            <w:noWrap/>
            <w:vAlign w:val="center"/>
          </w:tcPr>
          <w:p w:rsidR="00300F63" w:rsidRDefault="00D71AA1">
            <w:pPr>
              <w:pStyle w:val="biaogecenter"/>
              <w:wordWrap w:val="0"/>
              <w:rPr>
                <w:shd w:val="clear" w:color="auto" w:fill="FFFFFF"/>
              </w:rPr>
            </w:pPr>
            <w:r>
              <w:rPr>
                <w:shd w:val="clear" w:color="auto" w:fill="FFFFFF"/>
              </w:rPr>
              <w:t>0120040000000350</w:t>
            </w:r>
          </w:p>
        </w:tc>
        <w:tc>
          <w:tcPr>
            <w:tcW w:w="2052" w:type="pct"/>
            <w:tcBorders>
              <w:top w:val="single" w:sz="8" w:space="0" w:color="000000"/>
              <w:left w:val="single" w:sz="8" w:space="0" w:color="000000"/>
              <w:bottom w:val="single" w:sz="8" w:space="0" w:color="000000"/>
              <w:right w:val="single" w:sz="8" w:space="0" w:color="000000"/>
            </w:tcBorders>
            <w:noWrap/>
            <w:vAlign w:val="center"/>
          </w:tcPr>
          <w:p w:rsidR="00300F63" w:rsidRDefault="00D71AA1">
            <w:pPr>
              <w:pStyle w:val="biaogecenter"/>
              <w:wordWrap w:val="0"/>
              <w:rPr>
                <w:shd w:val="clear" w:color="auto" w:fill="FFFFFF"/>
              </w:rPr>
            </w:pPr>
            <w:r>
              <w:rPr>
                <w:shd w:val="clear" w:color="auto" w:fill="FFFFFF"/>
              </w:rPr>
              <w:t>南京银行鑫悦享1912三个月定开</w:t>
            </w:r>
          </w:p>
        </w:tc>
        <w:tc>
          <w:tcPr>
            <w:tcW w:w="679" w:type="pct"/>
            <w:tcBorders>
              <w:top w:val="single" w:sz="8" w:space="0" w:color="000000"/>
              <w:left w:val="single" w:sz="8" w:space="0" w:color="000000"/>
              <w:bottom w:val="single" w:sz="8" w:space="0" w:color="000000"/>
              <w:right w:val="single" w:sz="8" w:space="0" w:color="000000"/>
            </w:tcBorders>
            <w:noWrap/>
            <w:vAlign w:val="center"/>
          </w:tcPr>
          <w:p w:rsidR="00300F63" w:rsidRDefault="00D71AA1">
            <w:pPr>
              <w:pStyle w:val="biaogecenter"/>
              <w:wordWrap w:val="0"/>
              <w:rPr>
                <w:shd w:val="clear" w:color="auto" w:fill="FFFFFF"/>
              </w:rPr>
            </w:pPr>
            <w:r>
              <w:rPr>
                <w:shd w:val="clear" w:color="auto" w:fill="FFFFFF"/>
              </w:rPr>
              <w:t>南京银行</w:t>
            </w:r>
          </w:p>
        </w:tc>
      </w:tr>
    </w:tbl>
    <w:p w:rsidR="00300F63" w:rsidRDefault="00300F63">
      <w:pPr>
        <w:pStyle w:val="dazhangjie"/>
        <w:rPr>
          <w:b/>
          <w:bCs/>
          <w:color w:val="000000"/>
        </w:rPr>
      </w:pPr>
    </w:p>
    <w:p w:rsidR="00300F63" w:rsidRDefault="00300F63">
      <w:pPr>
        <w:widowControl/>
        <w:jc w:val="left"/>
        <w:rPr>
          <w:color w:val="000000"/>
        </w:rPr>
      </w:pPr>
    </w:p>
    <w:p w:rsidR="00300F63" w:rsidRDefault="00D71AA1">
      <w:pPr>
        <w:pStyle w:val="biaogeright"/>
        <w:rPr>
          <w:rFonts w:hAnsi="Calibri"/>
          <w:b/>
          <w:bCs/>
          <w:color w:val="000000"/>
        </w:rPr>
      </w:pPr>
      <w:r>
        <w:rPr>
          <w:rFonts w:hAnsi="Calibri" w:hint="eastAsia"/>
          <w:b/>
          <w:bCs/>
          <w:color w:val="000000"/>
        </w:rPr>
        <w:t>南银理财有限责任公司</w:t>
      </w:r>
    </w:p>
    <w:p w:rsidR="00300F63" w:rsidRDefault="008C103F" w:rsidP="008C103F">
      <w:pPr>
        <w:pStyle w:val="biaogeright"/>
        <w:rPr>
          <w:rFonts w:hAnsi="Calibri"/>
          <w:b/>
          <w:bCs/>
          <w:color w:val="000000"/>
        </w:rPr>
      </w:pPr>
      <w:r>
        <w:rPr>
          <w:rFonts w:hAnsi="Calibri" w:hint="eastAsia"/>
          <w:b/>
          <w:bCs/>
          <w:color w:val="000000"/>
        </w:rPr>
        <w:t>2022年3月31日</w:t>
      </w:r>
    </w:p>
    <w:sectPr w:rsidR="00300F63" w:rsidSect="00300F63">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23E" w:rsidRDefault="00DA123E" w:rsidP="00300F63">
      <w:r>
        <w:separator/>
      </w:r>
    </w:p>
  </w:endnote>
  <w:endnote w:type="continuationSeparator" w:id="1">
    <w:p w:rsidR="00DA123E" w:rsidRDefault="00DA123E" w:rsidP="00300F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F63" w:rsidRDefault="00E4515D">
    <w:pPr>
      <w:pStyle w:val="a4"/>
      <w:framePr w:wrap="around" w:vAnchor="text" w:hAnchor="margin" w:xAlign="center" w:y="1"/>
      <w:rPr>
        <w:rStyle w:val="a8"/>
      </w:rPr>
    </w:pPr>
    <w:r>
      <w:fldChar w:fldCharType="begin"/>
    </w:r>
    <w:r w:rsidR="00D71AA1">
      <w:rPr>
        <w:rStyle w:val="a8"/>
      </w:rPr>
      <w:instrText xml:space="preserve">PAGE  </w:instrText>
    </w:r>
    <w:r>
      <w:fldChar w:fldCharType="end"/>
    </w:r>
  </w:p>
  <w:p w:rsidR="00300F63" w:rsidRDefault="00300F6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F63" w:rsidRDefault="00300F63">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23E" w:rsidRDefault="00DA123E" w:rsidP="00300F63">
      <w:r>
        <w:separator/>
      </w:r>
    </w:p>
  </w:footnote>
  <w:footnote w:type="continuationSeparator" w:id="1">
    <w:p w:rsidR="00DA123E" w:rsidRDefault="00DA123E" w:rsidP="00300F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F63" w:rsidRDefault="00D71AA1">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2290"/>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29E73514"/>
    <w:rsid w:val="000060E5"/>
    <w:rsid w:val="000102DF"/>
    <w:rsid w:val="00030F14"/>
    <w:rsid w:val="00031AE6"/>
    <w:rsid w:val="00034FF6"/>
    <w:rsid w:val="0003738E"/>
    <w:rsid w:val="00044BFF"/>
    <w:rsid w:val="0005474A"/>
    <w:rsid w:val="00061725"/>
    <w:rsid w:val="00067886"/>
    <w:rsid w:val="00083AEE"/>
    <w:rsid w:val="00093286"/>
    <w:rsid w:val="000A07E0"/>
    <w:rsid w:val="000B285B"/>
    <w:rsid w:val="000C44EE"/>
    <w:rsid w:val="000D5066"/>
    <w:rsid w:val="000D5F8E"/>
    <w:rsid w:val="000F6191"/>
    <w:rsid w:val="000F6CC0"/>
    <w:rsid w:val="0010610C"/>
    <w:rsid w:val="00110E09"/>
    <w:rsid w:val="00130CE8"/>
    <w:rsid w:val="001379F6"/>
    <w:rsid w:val="00145A17"/>
    <w:rsid w:val="00152201"/>
    <w:rsid w:val="00153202"/>
    <w:rsid w:val="001553C2"/>
    <w:rsid w:val="0016590B"/>
    <w:rsid w:val="00176636"/>
    <w:rsid w:val="00183C84"/>
    <w:rsid w:val="00187131"/>
    <w:rsid w:val="00191E7C"/>
    <w:rsid w:val="001A0B70"/>
    <w:rsid w:val="001A339C"/>
    <w:rsid w:val="001C05F9"/>
    <w:rsid w:val="001C5395"/>
    <w:rsid w:val="001C733B"/>
    <w:rsid w:val="001D5A30"/>
    <w:rsid w:val="001D72A9"/>
    <w:rsid w:val="001E5767"/>
    <w:rsid w:val="001F4650"/>
    <w:rsid w:val="001F5321"/>
    <w:rsid w:val="002114A7"/>
    <w:rsid w:val="00211F26"/>
    <w:rsid w:val="002263FC"/>
    <w:rsid w:val="00231AC2"/>
    <w:rsid w:val="0023550F"/>
    <w:rsid w:val="0024254D"/>
    <w:rsid w:val="00251657"/>
    <w:rsid w:val="0026513C"/>
    <w:rsid w:val="00274A7C"/>
    <w:rsid w:val="0027690A"/>
    <w:rsid w:val="002813D0"/>
    <w:rsid w:val="002900B6"/>
    <w:rsid w:val="00290D0E"/>
    <w:rsid w:val="00297F72"/>
    <w:rsid w:val="002A01E0"/>
    <w:rsid w:val="002A3AE9"/>
    <w:rsid w:val="002B2C71"/>
    <w:rsid w:val="002B36BD"/>
    <w:rsid w:val="002C196E"/>
    <w:rsid w:val="002D75D0"/>
    <w:rsid w:val="002E795C"/>
    <w:rsid w:val="002F3AEA"/>
    <w:rsid w:val="0030002B"/>
    <w:rsid w:val="00300F63"/>
    <w:rsid w:val="0030118D"/>
    <w:rsid w:val="00321CB7"/>
    <w:rsid w:val="00336DF9"/>
    <w:rsid w:val="003379A9"/>
    <w:rsid w:val="00341473"/>
    <w:rsid w:val="00347110"/>
    <w:rsid w:val="00350ADF"/>
    <w:rsid w:val="00351BEE"/>
    <w:rsid w:val="003534BD"/>
    <w:rsid w:val="00355623"/>
    <w:rsid w:val="00363F78"/>
    <w:rsid w:val="00373526"/>
    <w:rsid w:val="0037726D"/>
    <w:rsid w:val="003867E5"/>
    <w:rsid w:val="003A0419"/>
    <w:rsid w:val="003B5524"/>
    <w:rsid w:val="003B73EB"/>
    <w:rsid w:val="003C2E6D"/>
    <w:rsid w:val="003E09EA"/>
    <w:rsid w:val="003F0AC3"/>
    <w:rsid w:val="004035EA"/>
    <w:rsid w:val="00405F22"/>
    <w:rsid w:val="004135D0"/>
    <w:rsid w:val="00426B51"/>
    <w:rsid w:val="00433F7F"/>
    <w:rsid w:val="004432ED"/>
    <w:rsid w:val="0044745E"/>
    <w:rsid w:val="00456251"/>
    <w:rsid w:val="00466076"/>
    <w:rsid w:val="00487993"/>
    <w:rsid w:val="00487AA2"/>
    <w:rsid w:val="0049537F"/>
    <w:rsid w:val="004C1607"/>
    <w:rsid w:val="004D1BD0"/>
    <w:rsid w:val="004E0C32"/>
    <w:rsid w:val="004F4218"/>
    <w:rsid w:val="005069D8"/>
    <w:rsid w:val="0054267A"/>
    <w:rsid w:val="00545F71"/>
    <w:rsid w:val="00551558"/>
    <w:rsid w:val="00561127"/>
    <w:rsid w:val="0056162E"/>
    <w:rsid w:val="00567DB3"/>
    <w:rsid w:val="00586A85"/>
    <w:rsid w:val="005B3434"/>
    <w:rsid w:val="005D5B56"/>
    <w:rsid w:val="005E775A"/>
    <w:rsid w:val="005F2C7B"/>
    <w:rsid w:val="005F4D04"/>
    <w:rsid w:val="006054F8"/>
    <w:rsid w:val="0061061C"/>
    <w:rsid w:val="0062696F"/>
    <w:rsid w:val="00644987"/>
    <w:rsid w:val="0065419A"/>
    <w:rsid w:val="00654220"/>
    <w:rsid w:val="00662613"/>
    <w:rsid w:val="00663B94"/>
    <w:rsid w:val="00665E81"/>
    <w:rsid w:val="00677F66"/>
    <w:rsid w:val="00684926"/>
    <w:rsid w:val="006B417D"/>
    <w:rsid w:val="006B7A7C"/>
    <w:rsid w:val="006C3B02"/>
    <w:rsid w:val="006D2006"/>
    <w:rsid w:val="006D4071"/>
    <w:rsid w:val="006E0D41"/>
    <w:rsid w:val="006E4E94"/>
    <w:rsid w:val="006F7C4D"/>
    <w:rsid w:val="007113CF"/>
    <w:rsid w:val="00714758"/>
    <w:rsid w:val="00730BEE"/>
    <w:rsid w:val="0073101E"/>
    <w:rsid w:val="00735153"/>
    <w:rsid w:val="00741092"/>
    <w:rsid w:val="00745421"/>
    <w:rsid w:val="00746812"/>
    <w:rsid w:val="0075032F"/>
    <w:rsid w:val="00766DD5"/>
    <w:rsid w:val="00796898"/>
    <w:rsid w:val="007A3D0E"/>
    <w:rsid w:val="007A4219"/>
    <w:rsid w:val="007A6DDB"/>
    <w:rsid w:val="007C422D"/>
    <w:rsid w:val="007D0048"/>
    <w:rsid w:val="007E2E92"/>
    <w:rsid w:val="007E40DE"/>
    <w:rsid w:val="007E4E67"/>
    <w:rsid w:val="007F50C7"/>
    <w:rsid w:val="007F5739"/>
    <w:rsid w:val="0080200C"/>
    <w:rsid w:val="008036C2"/>
    <w:rsid w:val="00814110"/>
    <w:rsid w:val="0082561A"/>
    <w:rsid w:val="00831B46"/>
    <w:rsid w:val="00846B2E"/>
    <w:rsid w:val="008517A9"/>
    <w:rsid w:val="00872F6C"/>
    <w:rsid w:val="0088632D"/>
    <w:rsid w:val="00890186"/>
    <w:rsid w:val="008926F7"/>
    <w:rsid w:val="0089287C"/>
    <w:rsid w:val="0089542B"/>
    <w:rsid w:val="008A16ED"/>
    <w:rsid w:val="008A7510"/>
    <w:rsid w:val="008B1EB1"/>
    <w:rsid w:val="008B672F"/>
    <w:rsid w:val="008C103F"/>
    <w:rsid w:val="008C68AE"/>
    <w:rsid w:val="008C78BD"/>
    <w:rsid w:val="008E165F"/>
    <w:rsid w:val="008E3B3F"/>
    <w:rsid w:val="008E5CC6"/>
    <w:rsid w:val="008F0C19"/>
    <w:rsid w:val="008F342A"/>
    <w:rsid w:val="00900D90"/>
    <w:rsid w:val="00916D74"/>
    <w:rsid w:val="009216A4"/>
    <w:rsid w:val="00924460"/>
    <w:rsid w:val="009354D6"/>
    <w:rsid w:val="009439D9"/>
    <w:rsid w:val="00964838"/>
    <w:rsid w:val="00970A98"/>
    <w:rsid w:val="00970F7B"/>
    <w:rsid w:val="00981ECB"/>
    <w:rsid w:val="00983B6A"/>
    <w:rsid w:val="009964B2"/>
    <w:rsid w:val="009C781F"/>
    <w:rsid w:val="009D3E39"/>
    <w:rsid w:val="009E6170"/>
    <w:rsid w:val="00A40E20"/>
    <w:rsid w:val="00A4484F"/>
    <w:rsid w:val="00A60E33"/>
    <w:rsid w:val="00A6112A"/>
    <w:rsid w:val="00A76D4B"/>
    <w:rsid w:val="00A77C47"/>
    <w:rsid w:val="00A820B9"/>
    <w:rsid w:val="00A9119C"/>
    <w:rsid w:val="00AA2969"/>
    <w:rsid w:val="00AA4549"/>
    <w:rsid w:val="00AB0A11"/>
    <w:rsid w:val="00AB0CFC"/>
    <w:rsid w:val="00AB1296"/>
    <w:rsid w:val="00AB6691"/>
    <w:rsid w:val="00AC5144"/>
    <w:rsid w:val="00AD3F7A"/>
    <w:rsid w:val="00AD6FA5"/>
    <w:rsid w:val="00AD77C5"/>
    <w:rsid w:val="00AE0098"/>
    <w:rsid w:val="00AE519B"/>
    <w:rsid w:val="00AF6377"/>
    <w:rsid w:val="00B04E6E"/>
    <w:rsid w:val="00B05543"/>
    <w:rsid w:val="00B13014"/>
    <w:rsid w:val="00B21B25"/>
    <w:rsid w:val="00B33B19"/>
    <w:rsid w:val="00B404E6"/>
    <w:rsid w:val="00B4360D"/>
    <w:rsid w:val="00B54409"/>
    <w:rsid w:val="00B65042"/>
    <w:rsid w:val="00B67966"/>
    <w:rsid w:val="00B74DCA"/>
    <w:rsid w:val="00B82278"/>
    <w:rsid w:val="00B96D3F"/>
    <w:rsid w:val="00BA2F89"/>
    <w:rsid w:val="00BC3903"/>
    <w:rsid w:val="00BD7297"/>
    <w:rsid w:val="00BE196A"/>
    <w:rsid w:val="00BE47E0"/>
    <w:rsid w:val="00BF75C8"/>
    <w:rsid w:val="00C1762E"/>
    <w:rsid w:val="00C30A48"/>
    <w:rsid w:val="00C35FA6"/>
    <w:rsid w:val="00C43741"/>
    <w:rsid w:val="00C457B8"/>
    <w:rsid w:val="00C52E56"/>
    <w:rsid w:val="00C57B86"/>
    <w:rsid w:val="00C640FB"/>
    <w:rsid w:val="00C65651"/>
    <w:rsid w:val="00CB054E"/>
    <w:rsid w:val="00CB7CBA"/>
    <w:rsid w:val="00CC232E"/>
    <w:rsid w:val="00CC29AF"/>
    <w:rsid w:val="00CC52D7"/>
    <w:rsid w:val="00CC5637"/>
    <w:rsid w:val="00CD1D4C"/>
    <w:rsid w:val="00CE6471"/>
    <w:rsid w:val="00CF6C89"/>
    <w:rsid w:val="00D0449D"/>
    <w:rsid w:val="00D12201"/>
    <w:rsid w:val="00D2360B"/>
    <w:rsid w:val="00D23AB6"/>
    <w:rsid w:val="00D50309"/>
    <w:rsid w:val="00D51AA9"/>
    <w:rsid w:val="00D640BE"/>
    <w:rsid w:val="00D642DB"/>
    <w:rsid w:val="00D64E3F"/>
    <w:rsid w:val="00D71AA1"/>
    <w:rsid w:val="00D7264A"/>
    <w:rsid w:val="00D84E43"/>
    <w:rsid w:val="00DA123E"/>
    <w:rsid w:val="00DA4BE9"/>
    <w:rsid w:val="00DB0C2F"/>
    <w:rsid w:val="00DB3BF6"/>
    <w:rsid w:val="00DC31CC"/>
    <w:rsid w:val="00DC728A"/>
    <w:rsid w:val="00DD51B6"/>
    <w:rsid w:val="00DD597C"/>
    <w:rsid w:val="00DE67E4"/>
    <w:rsid w:val="00E00594"/>
    <w:rsid w:val="00E00BB2"/>
    <w:rsid w:val="00E01920"/>
    <w:rsid w:val="00E155DF"/>
    <w:rsid w:val="00E337E1"/>
    <w:rsid w:val="00E37494"/>
    <w:rsid w:val="00E41B5E"/>
    <w:rsid w:val="00E4515D"/>
    <w:rsid w:val="00E623AB"/>
    <w:rsid w:val="00E81EDF"/>
    <w:rsid w:val="00E9797A"/>
    <w:rsid w:val="00EA5D3D"/>
    <w:rsid w:val="00EB0FBF"/>
    <w:rsid w:val="00EB3650"/>
    <w:rsid w:val="00EB6C63"/>
    <w:rsid w:val="00EC4DE1"/>
    <w:rsid w:val="00ED4637"/>
    <w:rsid w:val="00EE0436"/>
    <w:rsid w:val="00EE7C80"/>
    <w:rsid w:val="00F21510"/>
    <w:rsid w:val="00F41324"/>
    <w:rsid w:val="00F42715"/>
    <w:rsid w:val="00F53663"/>
    <w:rsid w:val="00F609FD"/>
    <w:rsid w:val="00F66874"/>
    <w:rsid w:val="00F81345"/>
    <w:rsid w:val="00F859AB"/>
    <w:rsid w:val="00F939D0"/>
    <w:rsid w:val="00F950D0"/>
    <w:rsid w:val="00FA2C26"/>
    <w:rsid w:val="00FA460A"/>
    <w:rsid w:val="00FA650F"/>
    <w:rsid w:val="00FB2BCC"/>
    <w:rsid w:val="00FB6E8E"/>
    <w:rsid w:val="00FD0F03"/>
    <w:rsid w:val="022C2410"/>
    <w:rsid w:val="026D0131"/>
    <w:rsid w:val="03643C6B"/>
    <w:rsid w:val="037A1E29"/>
    <w:rsid w:val="0434409B"/>
    <w:rsid w:val="04EE43A7"/>
    <w:rsid w:val="05430913"/>
    <w:rsid w:val="066933CB"/>
    <w:rsid w:val="06CE78F2"/>
    <w:rsid w:val="08143E27"/>
    <w:rsid w:val="086A4C04"/>
    <w:rsid w:val="0B6F1F7D"/>
    <w:rsid w:val="0C047A86"/>
    <w:rsid w:val="0C673246"/>
    <w:rsid w:val="0C8D5453"/>
    <w:rsid w:val="0D7F33C7"/>
    <w:rsid w:val="0DF37BFF"/>
    <w:rsid w:val="0E9D6641"/>
    <w:rsid w:val="1418619C"/>
    <w:rsid w:val="14975605"/>
    <w:rsid w:val="14A01541"/>
    <w:rsid w:val="15FE575C"/>
    <w:rsid w:val="1677277F"/>
    <w:rsid w:val="174F6B4B"/>
    <w:rsid w:val="18270B7C"/>
    <w:rsid w:val="185505DC"/>
    <w:rsid w:val="18C666BE"/>
    <w:rsid w:val="1AA87F19"/>
    <w:rsid w:val="1B363C6A"/>
    <w:rsid w:val="1B8A5B02"/>
    <w:rsid w:val="1DD376B7"/>
    <w:rsid w:val="1E911FB2"/>
    <w:rsid w:val="206D37DF"/>
    <w:rsid w:val="20955904"/>
    <w:rsid w:val="233002B5"/>
    <w:rsid w:val="236036FD"/>
    <w:rsid w:val="23A05440"/>
    <w:rsid w:val="23C50556"/>
    <w:rsid w:val="24960C0F"/>
    <w:rsid w:val="277874DD"/>
    <w:rsid w:val="2933258B"/>
    <w:rsid w:val="298E16C7"/>
    <w:rsid w:val="29E73514"/>
    <w:rsid w:val="2B0272A5"/>
    <w:rsid w:val="2B7C5C81"/>
    <w:rsid w:val="2B8B4394"/>
    <w:rsid w:val="2F132635"/>
    <w:rsid w:val="30077F05"/>
    <w:rsid w:val="3121340F"/>
    <w:rsid w:val="336668FA"/>
    <w:rsid w:val="36316B15"/>
    <w:rsid w:val="368076E6"/>
    <w:rsid w:val="388D7049"/>
    <w:rsid w:val="3A5E67F0"/>
    <w:rsid w:val="3AF80478"/>
    <w:rsid w:val="3C0E0AC1"/>
    <w:rsid w:val="3DE33F68"/>
    <w:rsid w:val="3FB22C0A"/>
    <w:rsid w:val="40897464"/>
    <w:rsid w:val="40E1302A"/>
    <w:rsid w:val="42BE08E7"/>
    <w:rsid w:val="433A3D7A"/>
    <w:rsid w:val="43A019F4"/>
    <w:rsid w:val="46A13001"/>
    <w:rsid w:val="4A9A51B9"/>
    <w:rsid w:val="4DEC7E75"/>
    <w:rsid w:val="4E276A76"/>
    <w:rsid w:val="4F8709AB"/>
    <w:rsid w:val="50C47F64"/>
    <w:rsid w:val="53300D28"/>
    <w:rsid w:val="55CC3E04"/>
    <w:rsid w:val="55E57CB6"/>
    <w:rsid w:val="564B4BD9"/>
    <w:rsid w:val="56696C12"/>
    <w:rsid w:val="57AD6E41"/>
    <w:rsid w:val="580B5AEB"/>
    <w:rsid w:val="5D1D443F"/>
    <w:rsid w:val="5E337017"/>
    <w:rsid w:val="5FBD11D0"/>
    <w:rsid w:val="61237A57"/>
    <w:rsid w:val="61B402D8"/>
    <w:rsid w:val="62342F4C"/>
    <w:rsid w:val="64F6329D"/>
    <w:rsid w:val="652A577F"/>
    <w:rsid w:val="65E55D8E"/>
    <w:rsid w:val="6815493E"/>
    <w:rsid w:val="6898111C"/>
    <w:rsid w:val="6983088A"/>
    <w:rsid w:val="6A485270"/>
    <w:rsid w:val="6B37137A"/>
    <w:rsid w:val="6C145AA4"/>
    <w:rsid w:val="6DFD23E8"/>
    <w:rsid w:val="6F307698"/>
    <w:rsid w:val="702B184D"/>
    <w:rsid w:val="704B76D3"/>
    <w:rsid w:val="709D748C"/>
    <w:rsid w:val="73193673"/>
    <w:rsid w:val="769D50BC"/>
    <w:rsid w:val="78467F33"/>
    <w:rsid w:val="7A056855"/>
    <w:rsid w:val="7B582B92"/>
    <w:rsid w:val="7D36154A"/>
    <w:rsid w:val="7D8E47C1"/>
    <w:rsid w:val="7E3D508D"/>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0F63"/>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300F63"/>
    <w:rPr>
      <w:sz w:val="18"/>
      <w:szCs w:val="18"/>
      <w:lang/>
    </w:rPr>
  </w:style>
  <w:style w:type="paragraph" w:styleId="a4">
    <w:name w:val="footer"/>
    <w:basedOn w:val="a"/>
    <w:link w:val="Char0"/>
    <w:uiPriority w:val="99"/>
    <w:unhideWhenUsed/>
    <w:qFormat/>
    <w:rsid w:val="00300F63"/>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300F63"/>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qFormat/>
    <w:rsid w:val="00300F63"/>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300F6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300F63"/>
  </w:style>
  <w:style w:type="paragraph" w:customStyle="1" w:styleId="zhongyaotishi">
    <w:name w:val="zhongyaotishi"/>
    <w:basedOn w:val="a"/>
    <w:qFormat/>
    <w:rsid w:val="00300F63"/>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300F63"/>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300F63"/>
    <w:pPr>
      <w:widowControl w:val="0"/>
      <w:jc w:val="center"/>
    </w:pPr>
    <w:rPr>
      <w:kern w:val="2"/>
      <w:sz w:val="33"/>
      <w:szCs w:val="22"/>
    </w:rPr>
  </w:style>
  <w:style w:type="paragraph" w:customStyle="1" w:styleId="neirong">
    <w:name w:val="neirong"/>
    <w:basedOn w:val="a"/>
    <w:qFormat/>
    <w:rsid w:val="00300F6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300F63"/>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300F63"/>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300F6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300F63"/>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300F63"/>
    <w:pPr>
      <w:widowControl w:val="0"/>
    </w:pPr>
    <w:rPr>
      <w:kern w:val="2"/>
      <w:sz w:val="21"/>
      <w:szCs w:val="22"/>
    </w:rPr>
  </w:style>
  <w:style w:type="paragraph" w:customStyle="1" w:styleId="biaogecenter">
    <w:name w:val="biaoge_center"/>
    <w:basedOn w:val="a"/>
    <w:qFormat/>
    <w:rsid w:val="00300F63"/>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qFormat/>
    <w:rsid w:val="00300F63"/>
    <w:pPr>
      <w:jc w:val="both"/>
    </w:pPr>
    <w:rPr>
      <w:kern w:val="2"/>
      <w:sz w:val="21"/>
      <w:szCs w:val="21"/>
    </w:rPr>
  </w:style>
  <w:style w:type="paragraph" w:customStyle="1" w:styleId="biaogeright1">
    <w:name w:val="biaoge_right1"/>
    <w:basedOn w:val="a"/>
    <w:qFormat/>
    <w:rsid w:val="00300F6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300F6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300F63"/>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300F63"/>
    <w:rPr>
      <w:kern w:val="2"/>
      <w:sz w:val="18"/>
      <w:szCs w:val="18"/>
    </w:rPr>
  </w:style>
  <w:style w:type="character" w:customStyle="1" w:styleId="Char0">
    <w:name w:val="页脚 Char"/>
    <w:link w:val="a4"/>
    <w:uiPriority w:val="99"/>
    <w:semiHidden/>
    <w:qFormat/>
    <w:locked/>
    <w:rsid w:val="00300F63"/>
    <w:rPr>
      <w:rFonts w:ascii="Times New Roman" w:hAnsi="Times New Roman" w:cs="Times New Roman" w:hint="default"/>
      <w:sz w:val="18"/>
      <w:szCs w:val="18"/>
    </w:rPr>
  </w:style>
  <w:style w:type="character" w:customStyle="1" w:styleId="Char1">
    <w:name w:val="页眉 Char"/>
    <w:link w:val="a5"/>
    <w:uiPriority w:val="99"/>
    <w:semiHidden/>
    <w:qFormat/>
    <w:locked/>
    <w:rsid w:val="00300F63"/>
    <w:rPr>
      <w:rFonts w:ascii="Times New Roman" w:hAnsi="Times New Roman" w:cs="Times New Roman" w:hint="default"/>
      <w:sz w:val="18"/>
      <w:szCs w:val="18"/>
    </w:rPr>
  </w:style>
  <w:style w:type="table" w:customStyle="1" w:styleId="dqbgxx">
    <w:name w:val="dqbgxx"/>
    <w:basedOn w:val="a1"/>
    <w:qFormat/>
    <w:rsid w:val="00300F63"/>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qFormat/>
    <w:rsid w:val="00300F63"/>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300F63"/>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396</Words>
  <Characters>2261</Characters>
  <Application>Microsoft Office Word</Application>
  <DocSecurity>0</DocSecurity>
  <Lines>18</Lines>
  <Paragraphs>5</Paragraphs>
  <ScaleCrop>false</ScaleCrop>
  <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33</cp:revision>
  <dcterms:created xsi:type="dcterms:W3CDTF">2021-06-30T07:28:00Z</dcterms:created>
  <dcterms:modified xsi:type="dcterms:W3CDTF">2022-04-19T08:26:00Z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