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7C1" w:rsidRDefault="008957C1">
      <w:pPr>
        <w:pStyle w:val="dazhangjie"/>
        <w:ind w:left="0"/>
        <w:jc w:val="both"/>
        <w:rPr>
          <w:b/>
          <w:bCs/>
          <w:color w:val="000000"/>
        </w:rPr>
      </w:pPr>
    </w:p>
    <w:p w:rsidR="008957C1" w:rsidRDefault="008957C1">
      <w:pPr>
        <w:pStyle w:val="dazhangjie"/>
        <w:ind w:left="0"/>
        <w:jc w:val="both"/>
        <w:rPr>
          <w:b/>
          <w:bCs/>
          <w:color w:val="000000"/>
        </w:rPr>
      </w:pPr>
    </w:p>
    <w:p w:rsidR="008957C1" w:rsidRDefault="008957C1">
      <w:pPr>
        <w:pStyle w:val="dazhangjie"/>
        <w:ind w:left="0"/>
        <w:jc w:val="both"/>
        <w:rPr>
          <w:b/>
          <w:bCs/>
          <w:color w:val="000000"/>
        </w:rPr>
      </w:pPr>
    </w:p>
    <w:p w:rsidR="008957C1" w:rsidRDefault="00D42273">
      <w:pPr>
        <w:pStyle w:val="dazhangjie"/>
        <w:spacing w:before="240" w:after="120"/>
        <w:rPr>
          <w:rFonts w:ascii="黑体" w:eastAsia="黑体"/>
          <w:b/>
          <w:bCs/>
          <w:color w:val="000000"/>
          <w:sz w:val="36"/>
        </w:rPr>
      </w:pPr>
      <w:r>
        <w:rPr>
          <w:rFonts w:ascii="黑体" w:eastAsia="黑体" w:hint="eastAsia"/>
          <w:b/>
          <w:bCs/>
          <w:color w:val="000000"/>
          <w:sz w:val="36"/>
        </w:rPr>
        <w:t>南银理财珠联璧合安稳1904一年定开公募人民币理财产品</w:t>
      </w:r>
    </w:p>
    <w:p w:rsidR="008957C1" w:rsidRDefault="00651CF1">
      <w:pPr>
        <w:pStyle w:val="dazhangjie"/>
        <w:spacing w:before="240" w:after="120"/>
        <w:rPr>
          <w:rFonts w:ascii="黑体" w:eastAsia="黑体" w:hAnsi="黑体"/>
          <w:b/>
          <w:bCs/>
          <w:color w:val="000000"/>
          <w:sz w:val="36"/>
        </w:rPr>
      </w:pPr>
      <w:r>
        <w:rPr>
          <w:rFonts w:ascii="黑体" w:eastAsia="黑体" w:hAnsi="黑体"/>
          <w:b/>
          <w:bCs/>
          <w:color w:val="000000"/>
          <w:sz w:val="36"/>
        </w:rPr>
        <w:t>2022年第1季度报告</w:t>
      </w:r>
    </w:p>
    <w:p w:rsidR="008957C1" w:rsidRDefault="008957C1">
      <w:pPr>
        <w:pStyle w:val="dazhangjie"/>
        <w:spacing w:before="240" w:after="120"/>
        <w:rPr>
          <w:rFonts w:ascii="黑体" w:eastAsia="黑体" w:hAnsi="黑体"/>
          <w:b/>
          <w:bCs/>
          <w:color w:val="000000"/>
          <w:sz w:val="36"/>
        </w:rPr>
      </w:pPr>
    </w:p>
    <w:p w:rsidR="008957C1" w:rsidRDefault="008957C1">
      <w:pPr>
        <w:pStyle w:val="dazhangjie"/>
        <w:spacing w:before="240" w:after="120"/>
        <w:rPr>
          <w:rFonts w:ascii="黑体" w:eastAsia="黑体" w:hAnsi="黑体"/>
          <w:b/>
          <w:bCs/>
          <w:color w:val="000000"/>
          <w:sz w:val="36"/>
        </w:rPr>
      </w:pPr>
    </w:p>
    <w:p w:rsidR="008957C1" w:rsidRDefault="008957C1">
      <w:pPr>
        <w:pStyle w:val="dazhangjie"/>
        <w:spacing w:before="240" w:after="120"/>
        <w:rPr>
          <w:rFonts w:ascii="黑体" w:eastAsia="黑体" w:hAnsi="黑体"/>
          <w:b/>
          <w:bCs/>
          <w:color w:val="000000"/>
          <w:sz w:val="36"/>
        </w:rPr>
      </w:pPr>
    </w:p>
    <w:p w:rsidR="008957C1" w:rsidRDefault="008957C1">
      <w:pPr>
        <w:pStyle w:val="dazhangjie"/>
        <w:spacing w:before="240" w:after="120"/>
        <w:rPr>
          <w:rFonts w:ascii="黑体" w:eastAsia="黑体" w:hAnsi="黑体"/>
          <w:b/>
          <w:bCs/>
          <w:color w:val="000000"/>
          <w:sz w:val="36"/>
        </w:rPr>
      </w:pPr>
    </w:p>
    <w:p w:rsidR="008957C1" w:rsidRDefault="008957C1">
      <w:pPr>
        <w:pStyle w:val="dazhangjie"/>
        <w:spacing w:before="240" w:after="120"/>
        <w:rPr>
          <w:rFonts w:ascii="黑体" w:eastAsia="黑体" w:hAnsi="黑体"/>
          <w:b/>
          <w:bCs/>
          <w:color w:val="000000"/>
          <w:sz w:val="36"/>
        </w:rPr>
      </w:pPr>
    </w:p>
    <w:p w:rsidR="008957C1" w:rsidRDefault="008957C1">
      <w:pPr>
        <w:pStyle w:val="dazhangjie"/>
        <w:spacing w:before="240" w:after="120"/>
        <w:ind w:left="0"/>
        <w:jc w:val="both"/>
        <w:rPr>
          <w:rFonts w:ascii="黑体" w:eastAsia="黑体" w:hAnsi="黑体"/>
          <w:b/>
          <w:bCs/>
          <w:color w:val="000000"/>
          <w:sz w:val="36"/>
        </w:rPr>
      </w:pPr>
    </w:p>
    <w:p w:rsidR="008957C1" w:rsidRDefault="00D42273">
      <w:pPr>
        <w:pStyle w:val="dazhangjie"/>
        <w:spacing w:before="240" w:after="120"/>
        <w:rPr>
          <w:b/>
          <w:bCs/>
          <w:color w:val="000000"/>
        </w:rPr>
      </w:pPr>
      <w:r>
        <w:rPr>
          <w:rFonts w:hint="eastAsia"/>
          <w:b/>
          <w:bCs/>
          <w:color w:val="000000"/>
        </w:rPr>
        <w:t>产品</w:t>
      </w:r>
      <w:r>
        <w:rPr>
          <w:b/>
          <w:bCs/>
          <w:color w:val="000000"/>
        </w:rPr>
        <w:t>管理人:南银理财有限责任公司</w:t>
      </w:r>
    </w:p>
    <w:p w:rsidR="008957C1" w:rsidRDefault="00D42273">
      <w:pPr>
        <w:pStyle w:val="dazhangjie"/>
        <w:spacing w:before="240" w:after="120"/>
        <w:rPr>
          <w:b/>
          <w:bCs/>
          <w:color w:val="000000"/>
        </w:rPr>
      </w:pPr>
      <w:r>
        <w:rPr>
          <w:rFonts w:hint="eastAsia"/>
          <w:b/>
          <w:bCs/>
          <w:color w:val="000000"/>
        </w:rPr>
        <w:t>产品</w:t>
      </w:r>
      <w:r>
        <w:rPr>
          <w:b/>
          <w:bCs/>
          <w:color w:val="000000"/>
        </w:rPr>
        <w:t>托管人:南京银行股份有限公司</w:t>
      </w:r>
    </w:p>
    <w:p w:rsidR="008957C1" w:rsidRDefault="00D42273">
      <w:pPr>
        <w:widowControl/>
        <w:jc w:val="left"/>
        <w:rPr>
          <w:b/>
          <w:bCs/>
          <w:color w:val="000000"/>
        </w:rPr>
      </w:pPr>
      <w:r>
        <w:rPr>
          <w:rFonts w:hint="eastAsia"/>
          <w:b/>
          <w:bCs/>
          <w:color w:val="000000"/>
        </w:rPr>
        <w:br w:type="page"/>
      </w:r>
    </w:p>
    <w:p w:rsidR="008957C1" w:rsidRDefault="00D42273">
      <w:pPr>
        <w:pStyle w:val="dazhangjie"/>
        <w:rPr>
          <w:color w:val="000000"/>
        </w:rPr>
      </w:pPr>
      <w:r>
        <w:rPr>
          <w:rFonts w:hAnsi="Calibri" w:hint="eastAsia"/>
          <w:b/>
          <w:color w:val="000000"/>
        </w:rPr>
        <w:t>§1 产品概况</w:t>
      </w:r>
    </w:p>
    <w:p w:rsidR="008957C1" w:rsidRDefault="008957C1">
      <w:pPr>
        <w:widowControl/>
        <w:jc w:val="left"/>
        <w:rPr>
          <w:rFonts w:ascii="宋体" w:hAnsi="宋体" w:cs="宋体"/>
          <w:color w:val="000000"/>
          <w:kern w:val="0"/>
          <w:sz w:val="24"/>
          <w:szCs w:val="24"/>
        </w:rPr>
      </w:pPr>
    </w:p>
    <w:tbl>
      <w:tblPr>
        <w:tblW w:w="0" w:type="auto"/>
        <w:tblInd w:w="108" w:type="dxa"/>
        <w:tblLayout w:type="fixed"/>
        <w:tblLook w:val="04A0"/>
      </w:tblPr>
      <w:tblGrid>
        <w:gridCol w:w="2811"/>
        <w:gridCol w:w="6387"/>
      </w:tblGrid>
      <w:tr w:rsidR="008957C1">
        <w:tc>
          <w:tcPr>
            <w:tcW w:w="281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rFonts w:hint="eastAsia"/>
                <w:color w:val="000000"/>
              </w:rPr>
              <w:t>产品全称</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pPr>
            <w:r>
              <w:rPr>
                <w:rFonts w:hint="eastAsia"/>
              </w:rPr>
              <w:t>南银理财珠联璧合安稳1904一年定开公募人民币理财产品</w:t>
            </w:r>
          </w:p>
        </w:tc>
      </w:tr>
      <w:tr w:rsidR="008957C1">
        <w:tc>
          <w:tcPr>
            <w:tcW w:w="281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rFonts w:hint="eastAsia"/>
              </w:rPr>
              <w:t>产品登记编码</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pPr>
            <w:r>
              <w:rPr>
                <w:rFonts w:hint="eastAsia"/>
              </w:rPr>
              <w:t>Z7003221000017（投资者可依据该编码在中国理财网www.chinawealth.com.cn查询理财产品相关信息）</w:t>
            </w:r>
          </w:p>
        </w:tc>
      </w:tr>
      <w:tr w:rsidR="008957C1">
        <w:tc>
          <w:tcPr>
            <w:tcW w:w="281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rFonts w:hint="eastAsia"/>
                <w:color w:val="000000"/>
              </w:rPr>
              <w:t>产品运作方式</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rFonts w:hint="eastAsia"/>
                <w:color w:val="000000"/>
              </w:rPr>
              <w:t>开放式净值型</w:t>
            </w:r>
          </w:p>
        </w:tc>
      </w:tr>
      <w:tr w:rsidR="008957C1">
        <w:tc>
          <w:tcPr>
            <w:tcW w:w="281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t>产品成立日</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color w:val="000000"/>
              </w:rPr>
              <w:t>2019年04月24日</w:t>
            </w:r>
          </w:p>
        </w:tc>
      </w:tr>
      <w:tr w:rsidR="008957C1">
        <w:tc>
          <w:tcPr>
            <w:tcW w:w="281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rFonts w:hint="eastAsia"/>
                <w:color w:val="000000"/>
              </w:rPr>
              <w:t>报告期末产品份额总额</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8957C1" w:rsidRDefault="00651CF1">
            <w:pPr>
              <w:pStyle w:val="biaogeleft"/>
              <w:wordWrap w:val="0"/>
            </w:pPr>
            <w:r>
              <w:t>1,688,633,396.50份</w:t>
            </w:r>
          </w:p>
        </w:tc>
      </w:tr>
      <w:tr w:rsidR="008957C1">
        <w:tc>
          <w:tcPr>
            <w:tcW w:w="281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rFonts w:hint="eastAsia"/>
                <w:color w:val="000000"/>
              </w:rPr>
              <w:t>合作机构</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8957C1" w:rsidRDefault="009B48B1">
            <w:pPr>
              <w:pStyle w:val="biaogeleft"/>
              <w:wordWrap w:val="0"/>
              <w:rPr>
                <w:color w:val="000000"/>
              </w:rPr>
            </w:pPr>
            <w:r>
              <w:rPr>
                <w:color w:val="000000"/>
              </w:rPr>
              <w:t>-</w:t>
            </w:r>
          </w:p>
        </w:tc>
      </w:tr>
      <w:tr w:rsidR="008957C1">
        <w:tc>
          <w:tcPr>
            <w:tcW w:w="281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rFonts w:hint="eastAsia"/>
                <w:color w:val="000000"/>
              </w:rPr>
              <w:t>产品管理人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neirong"/>
              <w:wordWrap w:val="0"/>
              <w:rPr>
                <w:color w:val="000000"/>
              </w:rPr>
            </w:pPr>
            <w:r>
              <w:rPr>
                <w:color w:val="000000"/>
              </w:rPr>
              <w:t>南银理财有限责任公司</w:t>
            </w:r>
          </w:p>
        </w:tc>
      </w:tr>
      <w:tr w:rsidR="008957C1">
        <w:tc>
          <w:tcPr>
            <w:tcW w:w="281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rFonts w:hint="eastAsia"/>
                <w:color w:val="000000"/>
              </w:rPr>
              <w:t>产品托管人</w:t>
            </w:r>
          </w:p>
        </w:tc>
        <w:tc>
          <w:tcPr>
            <w:tcW w:w="6387"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left"/>
              <w:wordWrap w:val="0"/>
              <w:rPr>
                <w:color w:val="000000"/>
              </w:rPr>
            </w:pPr>
            <w:r>
              <w:rPr>
                <w:color w:val="000000"/>
              </w:rPr>
              <w:t>南京银行股份有限公司</w:t>
            </w:r>
          </w:p>
        </w:tc>
      </w:tr>
    </w:tbl>
    <w:p w:rsidR="008957C1" w:rsidRDefault="008957C1">
      <w:pPr>
        <w:widowControl/>
        <w:jc w:val="left"/>
        <w:rPr>
          <w:rFonts w:ascii="宋体" w:hAnsi="宋体" w:cs="宋体"/>
          <w:color w:val="000000"/>
          <w:kern w:val="0"/>
          <w:sz w:val="24"/>
          <w:szCs w:val="24"/>
        </w:rPr>
      </w:pPr>
    </w:p>
    <w:p w:rsidR="008957C1" w:rsidRDefault="00D42273">
      <w:pPr>
        <w:pStyle w:val="dazhangjie"/>
        <w:rPr>
          <w:color w:val="000000"/>
        </w:rPr>
      </w:pPr>
      <w:r>
        <w:rPr>
          <w:rFonts w:hAnsi="Calibri" w:hint="eastAsia"/>
          <w:b/>
          <w:color w:val="000000"/>
        </w:rPr>
        <w:t>§2  主要财务指标</w:t>
      </w:r>
    </w:p>
    <w:p w:rsidR="008957C1" w:rsidRDefault="00D42273">
      <w:pPr>
        <w:pStyle w:val="zhangjiep"/>
        <w:ind w:left="0"/>
        <w:rPr>
          <w:color w:val="000000"/>
        </w:rPr>
      </w:pPr>
      <w:r>
        <w:rPr>
          <w:rFonts w:hint="eastAsia"/>
          <w:b/>
          <w:bCs/>
          <w:color w:val="000000"/>
        </w:rPr>
        <w:t>2.1 主要财务指标</w:t>
      </w:r>
    </w:p>
    <w:p w:rsidR="008957C1" w:rsidRDefault="00D42273">
      <w:pPr>
        <w:widowControl/>
        <w:autoSpaceDE w:val="0"/>
        <w:autoSpaceDN w:val="0"/>
        <w:adjustRightInd w:val="0"/>
        <w:spacing w:line="288" w:lineRule="auto"/>
        <w:jc w:val="right"/>
        <w:rPr>
          <w:rFonts w:ascii="宋体" w:hAnsi="宋体" w:cs="宋体"/>
          <w:color w:val="000000"/>
          <w:kern w:val="0"/>
          <w:sz w:val="24"/>
          <w:szCs w:val="24"/>
        </w:rPr>
      </w:pPr>
      <w:r>
        <w:rPr>
          <w:rFonts w:ascii="宋体" w:cs="宋体" w:hint="eastAsia"/>
          <w:color w:val="000000"/>
          <w:kern w:val="0"/>
          <w:sz w:val="24"/>
          <w:szCs w:val="24"/>
        </w:rPr>
        <w:t>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5"/>
        <w:gridCol w:w="5187"/>
      </w:tblGrid>
      <w:tr w:rsidR="008957C1">
        <w:tc>
          <w:tcPr>
            <w:tcW w:w="4135" w:type="dxa"/>
            <w:noWrap/>
            <w:vAlign w:val="center"/>
          </w:tcPr>
          <w:p w:rsidR="008957C1" w:rsidRDefault="00D42273">
            <w:pPr>
              <w:pStyle w:val="a6"/>
              <w:wordWrap w:val="0"/>
              <w:jc w:val="center"/>
              <w:rPr>
                <w:b/>
                <w:bCs/>
                <w:color w:val="000000"/>
              </w:rPr>
            </w:pPr>
            <w:r>
              <w:rPr>
                <w:rFonts w:hint="eastAsia"/>
                <w:b/>
                <w:bCs/>
                <w:color w:val="000000"/>
              </w:rPr>
              <w:t>主要财务指标</w:t>
            </w:r>
          </w:p>
        </w:tc>
        <w:tc>
          <w:tcPr>
            <w:tcW w:w="5187" w:type="dxa"/>
            <w:noWrap/>
          </w:tcPr>
          <w:p w:rsidR="008957C1" w:rsidRDefault="00651CF1">
            <w:pPr>
              <w:pStyle w:val="zhangjiep"/>
              <w:jc w:val="center"/>
              <w:rPr>
                <w:b/>
                <w:bCs/>
                <w:color w:val="000000"/>
              </w:rPr>
            </w:pPr>
            <w:r>
              <w:rPr>
                <w:rFonts w:hint="eastAsia"/>
              </w:rPr>
              <w:t>报告期（</w:t>
            </w:r>
            <w:r>
              <w:t>2022年1月1日 - 2022年3月31日）</w:t>
            </w:r>
          </w:p>
        </w:tc>
      </w:tr>
      <w:tr w:rsidR="008957C1">
        <w:tc>
          <w:tcPr>
            <w:tcW w:w="4135" w:type="dxa"/>
            <w:noWrap/>
            <w:vAlign w:val="center"/>
          </w:tcPr>
          <w:p w:rsidR="008957C1" w:rsidRDefault="00D42273">
            <w:pPr>
              <w:pStyle w:val="a6"/>
              <w:wordWrap w:val="0"/>
              <w:rPr>
                <w:b/>
                <w:bCs/>
                <w:color w:val="000000"/>
              </w:rPr>
            </w:pPr>
            <w:r>
              <w:rPr>
                <w:rFonts w:hint="eastAsia"/>
                <w:shd w:val="clear" w:color="auto" w:fill="FFFFFF"/>
              </w:rPr>
              <w:t>1</w:t>
            </w:r>
            <w:r>
              <w:rPr>
                <w:shd w:val="clear" w:color="auto" w:fill="FFFFFF"/>
              </w:rPr>
              <w:t>.期末</w:t>
            </w:r>
            <w:r>
              <w:rPr>
                <w:rFonts w:hint="eastAsia"/>
                <w:shd w:val="clear" w:color="auto" w:fill="FFFFFF"/>
              </w:rPr>
              <w:t>产品最后一个市场交易日</w:t>
            </w:r>
            <w:r>
              <w:rPr>
                <w:shd w:val="clear" w:color="auto" w:fill="FFFFFF"/>
              </w:rPr>
              <w:t>资产净值</w:t>
            </w:r>
          </w:p>
        </w:tc>
        <w:tc>
          <w:tcPr>
            <w:tcW w:w="5187" w:type="dxa"/>
            <w:noWrap/>
            <w:vAlign w:val="center"/>
          </w:tcPr>
          <w:p w:rsidR="008957C1" w:rsidRDefault="00651CF1">
            <w:pPr>
              <w:pStyle w:val="biaogeright"/>
              <w:jc w:val="center"/>
              <w:rPr>
                <w:b/>
                <w:bCs/>
                <w:color w:val="000000"/>
              </w:rPr>
            </w:pPr>
            <w:r>
              <w:rPr>
                <w:color w:val="000000"/>
              </w:rPr>
              <w:t>1,770,544,103.97</w:t>
            </w:r>
          </w:p>
        </w:tc>
      </w:tr>
      <w:tr w:rsidR="008957C1">
        <w:tc>
          <w:tcPr>
            <w:tcW w:w="4135" w:type="dxa"/>
            <w:noWrap/>
            <w:vAlign w:val="center"/>
          </w:tcPr>
          <w:p w:rsidR="008957C1" w:rsidRDefault="00D42273">
            <w:pPr>
              <w:pStyle w:val="a6"/>
              <w:wordWrap w:val="0"/>
              <w:rPr>
                <w:b/>
                <w:bCs/>
                <w:color w:val="000000"/>
              </w:rPr>
            </w:pPr>
            <w:r>
              <w:rPr>
                <w:rFonts w:hint="eastAsia"/>
                <w:shd w:val="clear" w:color="auto" w:fill="FFFFFF"/>
              </w:rPr>
              <w:t>2</w:t>
            </w:r>
            <w:r>
              <w:rPr>
                <w:shd w:val="clear" w:color="auto" w:fill="FFFFFF"/>
              </w:rPr>
              <w:t>.期末</w:t>
            </w:r>
            <w:r>
              <w:rPr>
                <w:rFonts w:hint="eastAsia"/>
                <w:shd w:val="clear" w:color="auto" w:fill="FFFFFF"/>
              </w:rPr>
              <w:t>产品最后一个市场交易日</w:t>
            </w:r>
            <w:r>
              <w:rPr>
                <w:shd w:val="clear" w:color="auto" w:fill="FFFFFF"/>
              </w:rPr>
              <w:t>份额净值</w:t>
            </w:r>
          </w:p>
        </w:tc>
        <w:tc>
          <w:tcPr>
            <w:tcW w:w="5187" w:type="dxa"/>
            <w:noWrap/>
            <w:vAlign w:val="center"/>
          </w:tcPr>
          <w:p w:rsidR="008957C1" w:rsidRDefault="00651CF1">
            <w:pPr>
              <w:pStyle w:val="biaogeright"/>
              <w:jc w:val="center"/>
              <w:rPr>
                <w:b/>
                <w:bCs/>
                <w:color w:val="000000"/>
              </w:rPr>
            </w:pPr>
            <w:r>
              <w:rPr>
                <w:color w:val="000000"/>
              </w:rPr>
              <w:t>1.0485</w:t>
            </w:r>
          </w:p>
        </w:tc>
      </w:tr>
      <w:tr w:rsidR="008957C1">
        <w:tc>
          <w:tcPr>
            <w:tcW w:w="4135" w:type="dxa"/>
            <w:noWrap/>
            <w:vAlign w:val="center"/>
          </w:tcPr>
          <w:p w:rsidR="008957C1" w:rsidRDefault="00D42273">
            <w:pPr>
              <w:pStyle w:val="a6"/>
              <w:wordWrap w:val="0"/>
              <w:rPr>
                <w:b/>
                <w:bCs/>
                <w:color w:val="000000"/>
              </w:rPr>
            </w:pPr>
            <w:r>
              <w:rPr>
                <w:rFonts w:hint="eastAsia"/>
                <w:shd w:val="clear" w:color="auto" w:fill="FFFFFF"/>
              </w:rPr>
              <w:t>3</w:t>
            </w:r>
            <w:r>
              <w:rPr>
                <w:shd w:val="clear" w:color="auto" w:fill="FFFFFF"/>
              </w:rPr>
              <w:t>.期末</w:t>
            </w:r>
            <w:r>
              <w:rPr>
                <w:rFonts w:hint="eastAsia"/>
                <w:shd w:val="clear" w:color="auto" w:fill="FFFFFF"/>
              </w:rPr>
              <w:t>产品最后一个市场交易日</w:t>
            </w:r>
            <w:r>
              <w:rPr>
                <w:shd w:val="clear" w:color="auto" w:fill="FFFFFF"/>
              </w:rPr>
              <w:t>份额</w:t>
            </w:r>
            <w:r>
              <w:rPr>
                <w:rFonts w:hint="eastAsia"/>
                <w:shd w:val="clear" w:color="auto" w:fill="FFFFFF"/>
              </w:rPr>
              <w:t>累计</w:t>
            </w:r>
            <w:r>
              <w:rPr>
                <w:shd w:val="clear" w:color="auto" w:fill="FFFFFF"/>
              </w:rPr>
              <w:t>净值</w:t>
            </w:r>
          </w:p>
        </w:tc>
        <w:tc>
          <w:tcPr>
            <w:tcW w:w="5187" w:type="dxa"/>
            <w:noWrap/>
            <w:vAlign w:val="center"/>
          </w:tcPr>
          <w:p w:rsidR="008957C1" w:rsidRDefault="00651CF1">
            <w:pPr>
              <w:pStyle w:val="biaogeright"/>
              <w:jc w:val="center"/>
              <w:rPr>
                <w:b/>
                <w:bCs/>
                <w:color w:val="000000"/>
              </w:rPr>
            </w:pPr>
            <w:r>
              <w:rPr>
                <w:color w:val="000000"/>
              </w:rPr>
              <w:t>1.1374</w:t>
            </w:r>
          </w:p>
        </w:tc>
      </w:tr>
    </w:tbl>
    <w:p w:rsidR="008957C1" w:rsidRDefault="00D42273">
      <w:pPr>
        <w:pStyle w:val="biaogeleft"/>
        <w:ind w:left="0"/>
        <w:rPr>
          <w:color w:val="000000"/>
        </w:rPr>
      </w:pPr>
      <w:r>
        <w:rPr>
          <w:rFonts w:hint="eastAsia"/>
        </w:rPr>
        <w:t>注：产品净值可能存在未扣除管理人及投资合作机构业绩报酬、赎回费等费用（如有）的情况，实际收益以兑付为准。</w:t>
      </w:r>
    </w:p>
    <w:p w:rsidR="008957C1" w:rsidRDefault="008957C1">
      <w:pPr>
        <w:pStyle w:val="zhangjiep"/>
        <w:ind w:left="0"/>
        <w:rPr>
          <w:b/>
          <w:bCs/>
          <w:color w:val="000000"/>
        </w:rPr>
      </w:pPr>
    </w:p>
    <w:p w:rsidR="008957C1" w:rsidRDefault="008957C1">
      <w:pPr>
        <w:widowControl/>
        <w:jc w:val="left"/>
        <w:rPr>
          <w:rFonts w:ascii="宋体" w:hAnsi="宋体" w:cs="宋体"/>
          <w:color w:val="000000"/>
          <w:kern w:val="0"/>
          <w:sz w:val="24"/>
          <w:szCs w:val="24"/>
        </w:rPr>
      </w:pPr>
    </w:p>
    <w:p w:rsidR="008957C1" w:rsidRDefault="00D42273">
      <w:pPr>
        <w:pStyle w:val="dazhangjie"/>
        <w:rPr>
          <w:color w:val="000000"/>
        </w:rPr>
      </w:pPr>
      <w:r>
        <w:rPr>
          <w:rFonts w:hAnsi="Calibri" w:hint="eastAsia"/>
          <w:b/>
          <w:color w:val="000000"/>
        </w:rPr>
        <w:t>§3  管理人报告</w:t>
      </w:r>
    </w:p>
    <w:p w:rsidR="003F4A1B" w:rsidRDefault="003F4A1B" w:rsidP="003F4A1B">
      <w:pPr>
        <w:pStyle w:val="a6"/>
        <w:rPr>
          <w:b/>
          <w:color w:val="000000"/>
        </w:rPr>
      </w:pPr>
      <w:r>
        <w:rPr>
          <w:rFonts w:hint="eastAsia"/>
          <w:b/>
          <w:color w:val="000000"/>
        </w:rPr>
        <w:t>3</w:t>
      </w:r>
      <w:r>
        <w:rPr>
          <w:b/>
          <w:color w:val="000000"/>
        </w:rPr>
        <w:t>.1 报告期内</w:t>
      </w:r>
      <w:r>
        <w:rPr>
          <w:rFonts w:hint="eastAsia"/>
          <w:b/>
          <w:color w:val="000000"/>
        </w:rPr>
        <w:t>产品</w:t>
      </w:r>
      <w:r>
        <w:rPr>
          <w:b/>
          <w:color w:val="000000"/>
        </w:rPr>
        <w:t>的投资策略和运作分析</w:t>
      </w:r>
      <w:r>
        <w:rPr>
          <w:rFonts w:hint="eastAsia"/>
          <w:b/>
          <w:color w:val="000000"/>
        </w:rPr>
        <w:tab/>
      </w:r>
    </w:p>
    <w:p w:rsidR="00674EC4" w:rsidRPr="00A10424" w:rsidRDefault="00674EC4" w:rsidP="00674EC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国内经济面临需求收缩、供给冲击、预期转弱三重压力，稳增长成为政策主线。货币政策方面，发挥货币政策工具的总量和结构双重功能，为实体经济提供更有力支持。财政政策方面，财政支持规模同比增长超</w:t>
      </w:r>
      <w:r w:rsidRPr="00A10424">
        <w:rPr>
          <w:rFonts w:ascii="宋体" w:hAnsi="宋体"/>
          <w:color w:val="000000"/>
          <w:kern w:val="0"/>
          <w:sz w:val="24"/>
          <w:szCs w:val="24"/>
        </w:rPr>
        <w:t>2</w:t>
      </w:r>
      <w:r w:rsidRPr="00A10424">
        <w:rPr>
          <w:rFonts w:ascii="宋体" w:hAnsi="宋体" w:hint="eastAsia"/>
          <w:color w:val="000000"/>
          <w:kern w:val="0"/>
          <w:sz w:val="24"/>
          <w:szCs w:val="24"/>
        </w:rPr>
        <w:t>万亿，财政赤字率为</w:t>
      </w:r>
      <w:r w:rsidRPr="00A10424">
        <w:rPr>
          <w:rFonts w:ascii="宋体" w:hAnsi="宋体"/>
          <w:color w:val="000000"/>
          <w:kern w:val="0"/>
          <w:sz w:val="24"/>
          <w:szCs w:val="24"/>
        </w:rPr>
        <w:t>2.8%</w:t>
      </w:r>
      <w:r w:rsidRPr="00A10424">
        <w:rPr>
          <w:rFonts w:ascii="宋体" w:hAnsi="宋体" w:hint="eastAsia"/>
          <w:color w:val="000000"/>
          <w:kern w:val="0"/>
          <w:sz w:val="24"/>
          <w:szCs w:val="24"/>
        </w:rPr>
        <w:t>左右，维持地方政府专项债额度</w:t>
      </w:r>
      <w:r w:rsidRPr="00A10424">
        <w:rPr>
          <w:rFonts w:ascii="宋体" w:hAnsi="宋体"/>
          <w:color w:val="000000"/>
          <w:kern w:val="0"/>
          <w:sz w:val="24"/>
          <w:szCs w:val="24"/>
        </w:rPr>
        <w:t>3.65</w:t>
      </w:r>
      <w:r w:rsidRPr="00A10424">
        <w:rPr>
          <w:rFonts w:ascii="宋体" w:hAnsi="宋体" w:hint="eastAsia"/>
          <w:color w:val="000000"/>
          <w:kern w:val="0"/>
          <w:sz w:val="24"/>
          <w:szCs w:val="24"/>
        </w:rPr>
        <w:t>万亿。基建及地产方面，适度超前开展基础设施建设，在维持“房住不炒”的主基调下，“因城施策”促进房地产市场进入良性循环。</w:t>
      </w:r>
    </w:p>
    <w:p w:rsidR="00674EC4" w:rsidRPr="00A10424" w:rsidRDefault="00674EC4" w:rsidP="00674EC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债券市场，一季度整体呈现震荡行情，市场对稳增长政策落地效果存在一定分歧，</w:t>
      </w:r>
      <w:r w:rsidRPr="00A10424">
        <w:rPr>
          <w:rFonts w:ascii="宋体" w:hAnsi="宋体"/>
          <w:color w:val="000000"/>
          <w:kern w:val="0"/>
          <w:sz w:val="24"/>
          <w:szCs w:val="24"/>
        </w:rPr>
        <w:t xml:space="preserve"> </w:t>
      </w:r>
      <w:r w:rsidRPr="00A10424">
        <w:rPr>
          <w:rFonts w:ascii="宋体" w:hAnsi="宋体"/>
          <w:color w:val="000000"/>
          <w:kern w:val="0"/>
          <w:sz w:val="24"/>
          <w:szCs w:val="24"/>
        </w:rPr>
        <w:lastRenderedPageBreak/>
        <w:t>10</w:t>
      </w:r>
      <w:r w:rsidRPr="00A10424">
        <w:rPr>
          <w:rFonts w:ascii="宋体" w:hAnsi="宋体" w:hint="eastAsia"/>
          <w:color w:val="000000"/>
          <w:kern w:val="0"/>
          <w:sz w:val="24"/>
          <w:szCs w:val="24"/>
        </w:rPr>
        <w:t>年期国债在</w:t>
      </w:r>
      <w:r w:rsidRPr="00A10424">
        <w:rPr>
          <w:rFonts w:ascii="宋体" w:hAnsi="宋体"/>
          <w:color w:val="000000"/>
          <w:kern w:val="0"/>
          <w:sz w:val="24"/>
          <w:szCs w:val="24"/>
        </w:rPr>
        <w:t>2.68%-2.85%</w:t>
      </w:r>
      <w:r w:rsidRPr="00A10424">
        <w:rPr>
          <w:rFonts w:ascii="宋体" w:hAnsi="宋体" w:hint="eastAsia"/>
          <w:color w:val="000000"/>
          <w:kern w:val="0"/>
          <w:sz w:val="24"/>
          <w:szCs w:val="24"/>
        </w:rPr>
        <w:t>区间内震荡，交易操作空间相对较窄。具体来看，</w:t>
      </w:r>
      <w:r w:rsidRPr="00A10424">
        <w:rPr>
          <w:rFonts w:ascii="宋体" w:hAnsi="宋体"/>
          <w:color w:val="000000"/>
          <w:kern w:val="0"/>
          <w:sz w:val="24"/>
          <w:szCs w:val="24"/>
        </w:rPr>
        <w:t>1</w:t>
      </w:r>
      <w:r w:rsidRPr="00A10424">
        <w:rPr>
          <w:rFonts w:ascii="宋体" w:hAnsi="宋体" w:hint="eastAsia"/>
          <w:color w:val="000000"/>
          <w:kern w:val="0"/>
          <w:sz w:val="24"/>
          <w:szCs w:val="24"/>
        </w:rPr>
        <w:t>月中旬央行超预期下调</w:t>
      </w:r>
      <w:r w:rsidRPr="00A10424">
        <w:rPr>
          <w:rFonts w:ascii="宋体" w:hAnsi="宋体"/>
          <w:color w:val="000000"/>
          <w:kern w:val="0"/>
          <w:sz w:val="24"/>
          <w:szCs w:val="24"/>
        </w:rPr>
        <w:t>MLF</w:t>
      </w:r>
      <w:r w:rsidRPr="00A10424">
        <w:rPr>
          <w:rFonts w:ascii="宋体" w:hAnsi="宋体" w:hint="eastAsia"/>
          <w:color w:val="000000"/>
          <w:kern w:val="0"/>
          <w:sz w:val="24"/>
          <w:szCs w:val="24"/>
        </w:rPr>
        <w:t>及公开市场操作利率</w:t>
      </w:r>
      <w:r w:rsidRPr="00A10424">
        <w:rPr>
          <w:rFonts w:ascii="宋体" w:hAnsi="宋体"/>
          <w:color w:val="000000"/>
          <w:kern w:val="0"/>
          <w:sz w:val="24"/>
          <w:szCs w:val="24"/>
        </w:rPr>
        <w:t>10BP</w:t>
      </w:r>
      <w:r w:rsidRPr="00A10424">
        <w:rPr>
          <w:rFonts w:ascii="宋体" w:hAnsi="宋体" w:hint="eastAsia"/>
          <w:color w:val="000000"/>
          <w:kern w:val="0"/>
          <w:sz w:val="24"/>
          <w:szCs w:val="24"/>
        </w:rPr>
        <w:t>，点燃市场做多热情，</w:t>
      </w:r>
      <w:r w:rsidRPr="00A10424">
        <w:rPr>
          <w:rFonts w:ascii="宋体" w:hAnsi="宋体"/>
          <w:color w:val="000000"/>
          <w:kern w:val="0"/>
          <w:sz w:val="24"/>
          <w:szCs w:val="24"/>
        </w:rPr>
        <w:t>10</w:t>
      </w:r>
      <w:r w:rsidRPr="00A10424">
        <w:rPr>
          <w:rFonts w:ascii="宋体" w:hAnsi="宋体" w:hint="eastAsia"/>
          <w:color w:val="000000"/>
          <w:kern w:val="0"/>
          <w:sz w:val="24"/>
          <w:szCs w:val="24"/>
        </w:rPr>
        <w:t>年期国债利率快速下行至</w:t>
      </w:r>
      <w:r w:rsidRPr="00A10424">
        <w:rPr>
          <w:rFonts w:ascii="宋体" w:hAnsi="宋体"/>
          <w:color w:val="000000"/>
          <w:kern w:val="0"/>
          <w:sz w:val="24"/>
          <w:szCs w:val="24"/>
        </w:rPr>
        <w:t>2.70%</w:t>
      </w:r>
      <w:r w:rsidRPr="00A10424">
        <w:rPr>
          <w:rFonts w:ascii="宋体" w:hAnsi="宋体" w:hint="eastAsia"/>
          <w:color w:val="000000"/>
          <w:kern w:val="0"/>
          <w:sz w:val="24"/>
          <w:szCs w:val="24"/>
        </w:rPr>
        <w:t>以下。</w:t>
      </w:r>
      <w:r w:rsidRPr="00A10424">
        <w:rPr>
          <w:rFonts w:ascii="宋体" w:hAnsi="宋体"/>
          <w:color w:val="000000"/>
          <w:kern w:val="0"/>
          <w:sz w:val="24"/>
          <w:szCs w:val="24"/>
        </w:rPr>
        <w:t>2</w:t>
      </w:r>
      <w:r w:rsidRPr="00A10424">
        <w:rPr>
          <w:rFonts w:ascii="宋体" w:hAnsi="宋体" w:hint="eastAsia"/>
          <w:color w:val="000000"/>
          <w:kern w:val="0"/>
          <w:sz w:val="24"/>
          <w:szCs w:val="24"/>
        </w:rPr>
        <w:t>月初，虽然市场对信贷“开门红”数据偏强已有预期，但从实际公布的情况来看，社融及信贷增量均创历史新高，引发长端利率回调至</w:t>
      </w:r>
      <w:r w:rsidRPr="00A10424">
        <w:rPr>
          <w:rFonts w:ascii="宋体" w:hAnsi="宋体"/>
          <w:color w:val="000000"/>
          <w:kern w:val="0"/>
          <w:sz w:val="24"/>
          <w:szCs w:val="24"/>
        </w:rPr>
        <w:t>2.8%</w:t>
      </w:r>
      <w:r w:rsidRPr="00A10424">
        <w:rPr>
          <w:rFonts w:ascii="宋体" w:hAnsi="宋体" w:hint="eastAsia"/>
          <w:color w:val="000000"/>
          <w:kern w:val="0"/>
          <w:sz w:val="24"/>
          <w:szCs w:val="24"/>
        </w:rPr>
        <w:t>以上。</w:t>
      </w:r>
      <w:r w:rsidRPr="00A10424">
        <w:rPr>
          <w:rFonts w:ascii="宋体" w:hAnsi="宋体"/>
          <w:color w:val="000000"/>
          <w:kern w:val="0"/>
          <w:sz w:val="24"/>
          <w:szCs w:val="24"/>
        </w:rPr>
        <w:t>2</w:t>
      </w:r>
      <w:r w:rsidRPr="00A10424">
        <w:rPr>
          <w:rFonts w:ascii="宋体" w:hAnsi="宋体" w:hint="eastAsia"/>
          <w:color w:val="000000"/>
          <w:kern w:val="0"/>
          <w:sz w:val="24"/>
          <w:szCs w:val="24"/>
        </w:rPr>
        <w:t>月末，多个城市地产调控政策表态出现松动，在两会召开前期，国内稳增长政策预期得到强化，叠加海外俄乌局势突变引发原油价格创历史新高，市场对未来通胀担忧上行，债券持续面临回调压力。进入</w:t>
      </w:r>
      <w:r w:rsidRPr="00A10424">
        <w:rPr>
          <w:rFonts w:ascii="宋体" w:hAnsi="宋体"/>
          <w:color w:val="000000"/>
          <w:kern w:val="0"/>
          <w:sz w:val="24"/>
          <w:szCs w:val="24"/>
        </w:rPr>
        <w:t>3</w:t>
      </w:r>
      <w:r w:rsidRPr="00A10424">
        <w:rPr>
          <w:rFonts w:ascii="宋体" w:hAnsi="宋体" w:hint="eastAsia"/>
          <w:color w:val="000000"/>
          <w:kern w:val="0"/>
          <w:sz w:val="24"/>
          <w:szCs w:val="24"/>
        </w:rPr>
        <w:t>月，投资者对经济修复进程存在分歧，伴随金稳委召开会议提振市场信心，市场机构继续博弈国内货币政策放松空间，长端利率在</w:t>
      </w:r>
      <w:r w:rsidRPr="00A10424">
        <w:rPr>
          <w:rFonts w:ascii="宋体" w:hAnsi="宋体"/>
          <w:color w:val="000000"/>
          <w:kern w:val="0"/>
          <w:sz w:val="24"/>
          <w:szCs w:val="24"/>
        </w:rPr>
        <w:t>2.8%</w:t>
      </w:r>
      <w:r w:rsidRPr="00A10424">
        <w:rPr>
          <w:rFonts w:ascii="宋体" w:hAnsi="宋体" w:hint="eastAsia"/>
          <w:color w:val="000000"/>
          <w:kern w:val="0"/>
          <w:sz w:val="24"/>
          <w:szCs w:val="24"/>
        </w:rPr>
        <w:t>附近来回震荡。</w:t>
      </w:r>
    </w:p>
    <w:p w:rsidR="00674EC4" w:rsidRPr="00A10424" w:rsidRDefault="00674EC4" w:rsidP="00674EC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展望后市，稳增长压力下，国内货币政策“以我为主”，宽货币的政策取向未变。在部分固收</w:t>
      </w:r>
      <w:r w:rsidRPr="00A10424">
        <w:rPr>
          <w:rFonts w:ascii="宋体" w:hAnsi="宋体"/>
          <w:color w:val="000000"/>
          <w:kern w:val="0"/>
          <w:sz w:val="24"/>
          <w:szCs w:val="24"/>
        </w:rPr>
        <w:t>+</w:t>
      </w:r>
      <w:r w:rsidRPr="00A10424">
        <w:rPr>
          <w:rFonts w:ascii="宋体" w:hAnsi="宋体" w:hint="eastAsia"/>
          <w:color w:val="000000"/>
          <w:kern w:val="0"/>
          <w:sz w:val="24"/>
          <w:szCs w:val="24"/>
        </w:rPr>
        <w:t>基金赎回压力释放后，市场资金向偏债型产品回流，债市交易情绪回暖。</w:t>
      </w:r>
      <w:r w:rsidRPr="00A10424">
        <w:rPr>
          <w:rFonts w:ascii="宋体" w:hAnsi="宋体"/>
          <w:color w:val="000000"/>
          <w:kern w:val="0"/>
          <w:sz w:val="24"/>
          <w:szCs w:val="24"/>
        </w:rPr>
        <w:t>4</w:t>
      </w:r>
      <w:r w:rsidRPr="00A10424">
        <w:rPr>
          <w:rFonts w:ascii="宋体" w:hAnsi="宋体" w:hint="eastAsia"/>
          <w:color w:val="000000"/>
          <w:kern w:val="0"/>
          <w:sz w:val="24"/>
          <w:szCs w:val="24"/>
        </w:rPr>
        <w:t>月将进入政策观察窗口期，关注国内稳增长政策出台的力度和海外美联储加息进程，预计长端利率仍存在一定波段交易空间。信用债方面，城投类主体区域和资质分化现象延续，区县级弱资质主体面临一定估值压力，应注意规避，优选中高等级主体进行配置。</w:t>
      </w:r>
    </w:p>
    <w:p w:rsidR="00674EC4" w:rsidRPr="00A10424" w:rsidRDefault="00674EC4" w:rsidP="00674EC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安稳系列产品坚持稳健操作，选择相对价值较高的信用债及非标资产作为主要底仓，并适当加强久期和杠杆策略的运用增厚产品收益。基于对后市的判断，产品将继续发挥票息策略优势，维持中性的杠杆与久期水平保持产品收益稳健。密切跟踪市场变化，在震荡调整中把握可能的波段交易机会。</w:t>
      </w:r>
    </w:p>
    <w:p w:rsidR="00674EC4" w:rsidRDefault="00674EC4" w:rsidP="00674EC4">
      <w:pPr>
        <w:pStyle w:val="a6"/>
        <w:rPr>
          <w:b/>
        </w:rPr>
      </w:pPr>
      <w:r>
        <w:rPr>
          <w:rFonts w:hint="eastAsia"/>
          <w:b/>
        </w:rPr>
        <w:t xml:space="preserve">3.2 </w:t>
      </w:r>
      <w:r>
        <w:rPr>
          <w:b/>
        </w:rPr>
        <w:t>报告期内</w:t>
      </w:r>
      <w:r>
        <w:rPr>
          <w:rFonts w:hint="eastAsia"/>
          <w:b/>
        </w:rPr>
        <w:t>产品</w:t>
      </w:r>
      <w:r>
        <w:rPr>
          <w:b/>
        </w:rPr>
        <w:t>的</w:t>
      </w:r>
      <w:r>
        <w:rPr>
          <w:rFonts w:hint="eastAsia"/>
          <w:b/>
        </w:rPr>
        <w:t>流动性风险</w:t>
      </w:r>
      <w:r>
        <w:rPr>
          <w:b/>
        </w:rPr>
        <w:t>分析</w:t>
      </w:r>
    </w:p>
    <w:p w:rsidR="00674EC4" w:rsidRPr="00A10424" w:rsidRDefault="00674EC4" w:rsidP="00674EC4">
      <w:pPr>
        <w:spacing w:line="360" w:lineRule="auto"/>
        <w:ind w:firstLineChars="200" w:firstLine="480"/>
        <w:rPr>
          <w:rFonts w:ascii="宋体" w:hAnsi="宋体"/>
          <w:color w:val="000000"/>
          <w:kern w:val="0"/>
          <w:sz w:val="24"/>
          <w:szCs w:val="24"/>
        </w:rPr>
      </w:pPr>
      <w:r w:rsidRPr="00A10424">
        <w:rPr>
          <w:rFonts w:ascii="宋体" w:hAnsi="宋体" w:hint="eastAsia"/>
          <w:color w:val="000000"/>
          <w:kern w:val="0"/>
          <w:sz w:val="24"/>
          <w:szCs w:val="24"/>
        </w:rPr>
        <w:t>今年以来，央行货币政策整体稳健宽松，市场资金面相对平稳。产品提前做好关键时点资金储备，保障流动性安全。下阶段，产品将继续维持稳健的投资风格，有效管理资产负债在流动性上的匹配程度，防范产品流动性风险。</w:t>
      </w:r>
    </w:p>
    <w:p w:rsidR="008957C1" w:rsidRDefault="00D42273">
      <w:pPr>
        <w:pStyle w:val="a6"/>
        <w:rPr>
          <w:b/>
          <w:color w:val="000000"/>
        </w:rPr>
      </w:pPr>
      <w:r>
        <w:rPr>
          <w:rFonts w:hint="eastAsia"/>
          <w:b/>
          <w:color w:val="000000"/>
        </w:rPr>
        <w:t>3</w:t>
      </w:r>
      <w:r>
        <w:rPr>
          <w:b/>
          <w:color w:val="000000"/>
        </w:rPr>
        <w:t>.</w:t>
      </w:r>
      <w:r>
        <w:rPr>
          <w:rFonts w:hint="eastAsia"/>
          <w:b/>
          <w:color w:val="000000"/>
        </w:rPr>
        <w:t>3</w:t>
      </w:r>
      <w:r>
        <w:rPr>
          <w:b/>
          <w:color w:val="000000"/>
        </w:rPr>
        <w:t xml:space="preserve"> 报告期内</w:t>
      </w:r>
      <w:r>
        <w:rPr>
          <w:rFonts w:hint="eastAsia"/>
          <w:b/>
          <w:color w:val="000000"/>
        </w:rPr>
        <w:t>产品</w:t>
      </w:r>
      <w:r>
        <w:rPr>
          <w:b/>
          <w:color w:val="000000"/>
        </w:rPr>
        <w:t>的业绩表现</w:t>
      </w:r>
    </w:p>
    <w:p w:rsidR="00651CF1" w:rsidRDefault="00651CF1">
      <w:pPr>
        <w:spacing w:line="360" w:lineRule="auto"/>
        <w:ind w:firstLineChars="200" w:firstLine="480"/>
        <w:rPr>
          <w:rFonts w:ascii="宋体" w:hAnsi="宋体"/>
          <w:color w:val="000000"/>
          <w:kern w:val="0"/>
          <w:sz w:val="24"/>
          <w:szCs w:val="24"/>
        </w:rPr>
      </w:pPr>
      <w:r>
        <w:rPr>
          <w:rFonts w:ascii="宋体" w:hAnsi="宋体"/>
          <w:color w:val="000000"/>
          <w:kern w:val="0"/>
          <w:sz w:val="24"/>
          <w:szCs w:val="24"/>
        </w:rPr>
        <w:t>截至报告期末,本产品份额净值为1.0485元。</w:t>
      </w:r>
    </w:p>
    <w:p w:rsidR="008957C1" w:rsidRDefault="008957C1">
      <w:pPr>
        <w:spacing w:line="360" w:lineRule="auto"/>
        <w:ind w:firstLineChars="200" w:firstLine="480"/>
        <w:rPr>
          <w:rFonts w:ascii="宋体" w:hAnsi="宋体"/>
          <w:sz w:val="24"/>
          <w:szCs w:val="24"/>
        </w:rPr>
      </w:pPr>
    </w:p>
    <w:p w:rsidR="008957C1" w:rsidRDefault="00D42273">
      <w:pPr>
        <w:pStyle w:val="dazhangjie"/>
        <w:rPr>
          <w:color w:val="000000"/>
        </w:rPr>
      </w:pPr>
      <w:r>
        <w:rPr>
          <w:rFonts w:hAnsi="Calibri" w:hint="eastAsia"/>
          <w:b/>
          <w:color w:val="000000"/>
        </w:rPr>
        <w:t>§4  投资组合报告</w:t>
      </w:r>
    </w:p>
    <w:p w:rsidR="008957C1" w:rsidRDefault="00D42273">
      <w:pPr>
        <w:pStyle w:val="zhangjiep"/>
        <w:ind w:left="0"/>
      </w:pPr>
      <w:r>
        <w:rPr>
          <w:rFonts w:hint="eastAsia"/>
          <w:b/>
          <w:bCs/>
        </w:rPr>
        <w:t>4.1 报告期末产品资产组合情况</w:t>
      </w:r>
    </w:p>
    <w:tbl>
      <w:tblPr>
        <w:tblW w:w="0" w:type="auto"/>
        <w:tblInd w:w="108" w:type="dxa"/>
        <w:tblLayout w:type="fixed"/>
        <w:tblLook w:val="04A0"/>
      </w:tblPr>
      <w:tblGrid>
        <w:gridCol w:w="891"/>
        <w:gridCol w:w="3078"/>
        <w:gridCol w:w="2567"/>
        <w:gridCol w:w="2395"/>
      </w:tblGrid>
      <w:tr w:rsidR="008957C1">
        <w:tc>
          <w:tcPr>
            <w:tcW w:w="891" w:type="dxa"/>
            <w:tcBorders>
              <w:top w:val="single" w:sz="8" w:space="0" w:color="000000"/>
              <w:left w:val="single" w:sz="8" w:space="0" w:color="000000"/>
              <w:bottom w:val="single" w:sz="8" w:space="0" w:color="000000"/>
              <w:right w:val="single" w:sz="8" w:space="0" w:color="000000"/>
            </w:tcBorders>
            <w:noWrap/>
            <w:vAlign w:val="bottom"/>
          </w:tcPr>
          <w:p w:rsidR="008957C1" w:rsidRDefault="00D42273">
            <w:pPr>
              <w:pStyle w:val="biaogecenter"/>
              <w:rPr>
                <w:color w:val="000000"/>
              </w:rPr>
            </w:pPr>
            <w:r>
              <w:rPr>
                <w:rFonts w:hint="eastAsia"/>
                <w:color w:val="000000"/>
              </w:rPr>
              <w:t>序号</w:t>
            </w:r>
          </w:p>
        </w:tc>
        <w:tc>
          <w:tcPr>
            <w:tcW w:w="3078" w:type="dxa"/>
            <w:tcBorders>
              <w:top w:val="single" w:sz="8" w:space="0" w:color="000000"/>
              <w:left w:val="single" w:sz="8" w:space="0" w:color="000000"/>
              <w:bottom w:val="single" w:sz="8" w:space="0" w:color="000000"/>
              <w:right w:val="single" w:sz="8" w:space="0" w:color="000000"/>
            </w:tcBorders>
            <w:noWrap/>
            <w:vAlign w:val="bottom"/>
          </w:tcPr>
          <w:p w:rsidR="008957C1" w:rsidRDefault="00D42273">
            <w:pPr>
              <w:pStyle w:val="biaogecenter"/>
              <w:rPr>
                <w:color w:val="000000"/>
              </w:rPr>
            </w:pPr>
            <w:r>
              <w:rPr>
                <w:rFonts w:hint="eastAsia"/>
                <w:color w:val="000000"/>
              </w:rPr>
              <w:t>资产类别</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8957C1" w:rsidRDefault="00D42273">
            <w:pPr>
              <w:pStyle w:val="biaogecenter"/>
              <w:rPr>
                <w:color w:val="000000"/>
              </w:rPr>
            </w:pPr>
            <w:r>
              <w:rPr>
                <w:rFonts w:hint="eastAsia"/>
                <w:color w:val="000000"/>
              </w:rPr>
              <w:t>穿透前占总资产比例</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8957C1" w:rsidRDefault="00D42273">
            <w:pPr>
              <w:pStyle w:val="biaogecenter"/>
              <w:rPr>
                <w:color w:val="000000"/>
              </w:rPr>
            </w:pPr>
            <w:r>
              <w:rPr>
                <w:rFonts w:hint="eastAsia"/>
                <w:color w:val="000000"/>
              </w:rPr>
              <w:t>穿透后占总资产比例</w:t>
            </w:r>
          </w:p>
        </w:tc>
      </w:tr>
      <w:tr w:rsidR="009B35CC">
        <w:tc>
          <w:tcPr>
            <w:tcW w:w="891" w:type="dxa"/>
            <w:tcBorders>
              <w:top w:val="single" w:sz="8" w:space="0" w:color="000000"/>
              <w:left w:val="single" w:sz="8" w:space="0" w:color="000000"/>
              <w:bottom w:val="single" w:sz="8" w:space="0" w:color="000000"/>
              <w:right w:val="single" w:sz="8" w:space="0" w:color="000000"/>
            </w:tcBorders>
            <w:noWrap/>
            <w:vAlign w:val="bottom"/>
          </w:tcPr>
          <w:p w:rsidR="009B35CC" w:rsidRDefault="009B35CC">
            <w:pPr>
              <w:pStyle w:val="biaogecenter"/>
              <w:rPr>
                <w:color w:val="000000"/>
              </w:rPr>
            </w:pPr>
            <w:r>
              <w:rPr>
                <w:rFonts w:hint="eastAsia"/>
                <w:color w:val="000000"/>
              </w:rPr>
              <w:t>1</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rFonts w:hint="eastAsia"/>
                <w:color w:val="000000"/>
              </w:rPr>
              <w:t>固定收益类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100.00%</w:t>
            </w:r>
          </w:p>
        </w:tc>
      </w:tr>
      <w:tr w:rsidR="009B35CC">
        <w:tc>
          <w:tcPr>
            <w:tcW w:w="891" w:type="dxa"/>
            <w:tcBorders>
              <w:top w:val="single" w:sz="8" w:space="0" w:color="000000"/>
              <w:left w:val="single" w:sz="8" w:space="0" w:color="000000"/>
              <w:bottom w:val="single" w:sz="8" w:space="0" w:color="000000"/>
              <w:right w:val="single" w:sz="8" w:space="0" w:color="000000"/>
            </w:tcBorders>
            <w:noWrap/>
            <w:vAlign w:val="bottom"/>
          </w:tcPr>
          <w:p w:rsidR="009B35CC" w:rsidRDefault="009B35CC">
            <w:pPr>
              <w:pStyle w:val="biaogecenter"/>
              <w:rPr>
                <w:color w:val="000000"/>
              </w:rPr>
            </w:pPr>
            <w:r>
              <w:rPr>
                <w:rFonts w:hint="eastAsia"/>
                <w:color w:val="000000"/>
              </w:rPr>
              <w:lastRenderedPageBreak/>
              <w:t>2</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rFonts w:hint="eastAsia"/>
                <w:color w:val="000000"/>
              </w:rPr>
              <w:t>权益类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0.00%</w:t>
            </w:r>
          </w:p>
        </w:tc>
      </w:tr>
      <w:tr w:rsidR="009B35CC">
        <w:tc>
          <w:tcPr>
            <w:tcW w:w="891" w:type="dxa"/>
            <w:tcBorders>
              <w:top w:val="single" w:sz="8" w:space="0" w:color="000000"/>
              <w:left w:val="single" w:sz="8" w:space="0" w:color="000000"/>
              <w:bottom w:val="single" w:sz="8" w:space="0" w:color="000000"/>
              <w:right w:val="single" w:sz="8" w:space="0" w:color="000000"/>
            </w:tcBorders>
            <w:noWrap/>
            <w:vAlign w:val="bottom"/>
          </w:tcPr>
          <w:p w:rsidR="009B35CC" w:rsidRDefault="009B35CC">
            <w:pPr>
              <w:pStyle w:val="biaogecenter"/>
              <w:rPr>
                <w:color w:val="000000"/>
              </w:rPr>
            </w:pPr>
            <w:r>
              <w:rPr>
                <w:rFonts w:hint="eastAsia"/>
                <w:color w:val="000000"/>
              </w:rPr>
              <w:t>3</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rFonts w:hint="eastAsia"/>
                <w:color w:val="000000"/>
              </w:rPr>
              <w:t>商品及金融衍生品类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0.00%</w:t>
            </w:r>
          </w:p>
        </w:tc>
      </w:tr>
      <w:tr w:rsidR="009B35CC">
        <w:tc>
          <w:tcPr>
            <w:tcW w:w="891" w:type="dxa"/>
            <w:tcBorders>
              <w:top w:val="single" w:sz="8" w:space="0" w:color="000000"/>
              <w:left w:val="single" w:sz="8" w:space="0" w:color="000000"/>
              <w:bottom w:val="single" w:sz="8" w:space="0" w:color="000000"/>
              <w:right w:val="single" w:sz="8" w:space="0" w:color="000000"/>
            </w:tcBorders>
            <w:noWrap/>
            <w:vAlign w:val="bottom"/>
          </w:tcPr>
          <w:p w:rsidR="009B35CC" w:rsidRDefault="009B35CC">
            <w:pPr>
              <w:pStyle w:val="biaogecenter"/>
              <w:rPr>
                <w:color w:val="000000"/>
              </w:rPr>
            </w:pPr>
            <w:r>
              <w:rPr>
                <w:rFonts w:hint="eastAsia"/>
                <w:color w:val="000000"/>
              </w:rPr>
              <w:t>4</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rFonts w:hint="eastAsia"/>
                <w:color w:val="000000"/>
              </w:rPr>
              <w:t>混合类</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0.00%</w:t>
            </w:r>
          </w:p>
        </w:tc>
      </w:tr>
      <w:tr w:rsidR="009B35CC">
        <w:tc>
          <w:tcPr>
            <w:tcW w:w="891" w:type="dxa"/>
            <w:tcBorders>
              <w:top w:val="single" w:sz="8" w:space="0" w:color="000000"/>
              <w:left w:val="single" w:sz="8" w:space="0" w:color="000000"/>
              <w:bottom w:val="single" w:sz="8" w:space="0" w:color="000000"/>
              <w:right w:val="single" w:sz="8" w:space="0" w:color="000000"/>
            </w:tcBorders>
            <w:noWrap/>
            <w:vAlign w:val="bottom"/>
          </w:tcPr>
          <w:p w:rsidR="009B35CC" w:rsidRDefault="009B35CC">
            <w:pPr>
              <w:pStyle w:val="biaogecenter"/>
              <w:rPr>
                <w:color w:val="000000"/>
              </w:rPr>
            </w:pPr>
            <w:r>
              <w:rPr>
                <w:rFonts w:hint="eastAsia"/>
                <w:color w:val="000000"/>
              </w:rPr>
              <w:t>5</w:t>
            </w:r>
          </w:p>
        </w:tc>
        <w:tc>
          <w:tcPr>
            <w:tcW w:w="3078"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rFonts w:hint="eastAsia"/>
                <w:color w:val="000000"/>
              </w:rPr>
              <w:t>合计</w:t>
            </w:r>
          </w:p>
        </w:tc>
        <w:tc>
          <w:tcPr>
            <w:tcW w:w="2567"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100.00%</w:t>
            </w:r>
          </w:p>
        </w:tc>
        <w:tc>
          <w:tcPr>
            <w:tcW w:w="2395" w:type="dxa"/>
            <w:tcBorders>
              <w:top w:val="single" w:sz="8" w:space="0" w:color="000000"/>
              <w:left w:val="single" w:sz="8" w:space="0" w:color="000000"/>
              <w:bottom w:val="single" w:sz="8" w:space="0" w:color="000000"/>
              <w:right w:val="single" w:sz="8" w:space="0" w:color="000000"/>
            </w:tcBorders>
            <w:noWrap/>
            <w:vAlign w:val="center"/>
          </w:tcPr>
          <w:p w:rsidR="009B35CC" w:rsidRPr="009B3F0A" w:rsidRDefault="009B35CC" w:rsidP="00B822CA">
            <w:pPr>
              <w:pStyle w:val="biaogecenter"/>
              <w:rPr>
                <w:color w:val="000000"/>
              </w:rPr>
            </w:pPr>
            <w:r w:rsidRPr="009B3F0A">
              <w:rPr>
                <w:color w:val="000000"/>
              </w:rPr>
              <w:t>100.00%</w:t>
            </w:r>
          </w:p>
        </w:tc>
      </w:tr>
    </w:tbl>
    <w:p w:rsidR="008957C1" w:rsidRDefault="008957C1">
      <w:pPr>
        <w:widowControl/>
        <w:jc w:val="left"/>
        <w:rPr>
          <w:rFonts w:ascii="宋体" w:hAnsi="宋体" w:cs="宋体"/>
          <w:color w:val="000000"/>
          <w:kern w:val="0"/>
          <w:sz w:val="24"/>
          <w:szCs w:val="24"/>
        </w:rPr>
      </w:pPr>
      <w:bookmarkStart w:id="0" w:name="_GoBack"/>
      <w:bookmarkEnd w:id="0"/>
    </w:p>
    <w:p w:rsidR="008957C1" w:rsidRDefault="00D42273">
      <w:pPr>
        <w:pStyle w:val="zhangjiep"/>
        <w:rPr>
          <w:b/>
          <w:bCs/>
          <w:color w:val="000000"/>
        </w:rPr>
      </w:pPr>
      <w:r>
        <w:rPr>
          <w:rFonts w:hint="eastAsia"/>
          <w:b/>
          <w:bCs/>
          <w:color w:val="000000"/>
        </w:rPr>
        <w:t>4.2 报告期末按公允价值占产品资产净值比例大小排序的前十名资产投资明细</w:t>
      </w:r>
    </w:p>
    <w:tbl>
      <w:tblPr>
        <w:tblW w:w="0" w:type="auto"/>
        <w:tblInd w:w="93" w:type="dxa"/>
        <w:tblLayout w:type="fixed"/>
        <w:tblLook w:val="04A0"/>
      </w:tblPr>
      <w:tblGrid>
        <w:gridCol w:w="582"/>
        <w:gridCol w:w="1728"/>
        <w:gridCol w:w="2690"/>
        <w:gridCol w:w="2035"/>
        <w:gridCol w:w="1765"/>
      </w:tblGrid>
      <w:tr w:rsidR="008957C1">
        <w:trPr>
          <w:trHeight w:val="870"/>
        </w:trPr>
        <w:tc>
          <w:tcPr>
            <w:tcW w:w="582" w:type="dxa"/>
            <w:tcBorders>
              <w:top w:val="single" w:sz="8" w:space="0" w:color="000000"/>
              <w:left w:val="single" w:sz="8" w:space="0" w:color="000000"/>
              <w:bottom w:val="single" w:sz="8" w:space="0" w:color="000000"/>
              <w:right w:val="single" w:sz="8" w:space="0" w:color="000000"/>
            </w:tcBorders>
            <w:noWrap/>
            <w:vAlign w:val="center"/>
          </w:tcPr>
          <w:p w:rsidR="008957C1" w:rsidRDefault="00D42273">
            <w:pPr>
              <w:pStyle w:val="biaogecenter"/>
              <w:rPr>
                <w:color w:val="000000"/>
              </w:rPr>
            </w:pPr>
            <w:r>
              <w:rPr>
                <w:rFonts w:hint="eastAsia"/>
                <w:color w:val="000000"/>
              </w:rPr>
              <w:t>序号</w:t>
            </w:r>
          </w:p>
        </w:tc>
        <w:tc>
          <w:tcPr>
            <w:tcW w:w="1728" w:type="dxa"/>
            <w:tcBorders>
              <w:top w:val="single" w:sz="8" w:space="0" w:color="000000"/>
              <w:left w:val="nil"/>
              <w:bottom w:val="single" w:sz="8" w:space="0" w:color="000000"/>
              <w:right w:val="single" w:sz="8" w:space="0" w:color="000000"/>
            </w:tcBorders>
            <w:noWrap/>
            <w:vAlign w:val="center"/>
          </w:tcPr>
          <w:p w:rsidR="008957C1" w:rsidRDefault="00D42273">
            <w:pPr>
              <w:pStyle w:val="biaogecenter"/>
              <w:wordWrap w:val="0"/>
              <w:rPr>
                <w:color w:val="000000"/>
              </w:rPr>
            </w:pPr>
            <w:r>
              <w:rPr>
                <w:rFonts w:hint="eastAsia"/>
                <w:color w:val="000000"/>
              </w:rPr>
              <w:t>代码</w:t>
            </w:r>
          </w:p>
        </w:tc>
        <w:tc>
          <w:tcPr>
            <w:tcW w:w="2690" w:type="dxa"/>
            <w:tcBorders>
              <w:top w:val="single" w:sz="8" w:space="0" w:color="000000"/>
              <w:left w:val="nil"/>
              <w:bottom w:val="single" w:sz="8" w:space="0" w:color="000000"/>
              <w:right w:val="single" w:sz="8" w:space="0" w:color="000000"/>
            </w:tcBorders>
            <w:noWrap/>
            <w:vAlign w:val="center"/>
          </w:tcPr>
          <w:p w:rsidR="008957C1" w:rsidRDefault="00D42273">
            <w:pPr>
              <w:pStyle w:val="biaogecenter"/>
              <w:wordWrap w:val="0"/>
              <w:rPr>
                <w:color w:val="000000"/>
              </w:rPr>
            </w:pPr>
            <w:r>
              <w:rPr>
                <w:rFonts w:hint="eastAsia"/>
                <w:color w:val="000000"/>
              </w:rPr>
              <w:t>名称</w:t>
            </w:r>
          </w:p>
        </w:tc>
        <w:tc>
          <w:tcPr>
            <w:tcW w:w="2035" w:type="dxa"/>
            <w:tcBorders>
              <w:top w:val="single" w:sz="8" w:space="0" w:color="000000"/>
              <w:left w:val="nil"/>
              <w:bottom w:val="single" w:sz="8" w:space="0" w:color="000000"/>
              <w:right w:val="single" w:sz="8" w:space="0" w:color="000000"/>
            </w:tcBorders>
            <w:noWrap/>
            <w:vAlign w:val="center"/>
          </w:tcPr>
          <w:p w:rsidR="008957C1" w:rsidRDefault="00D42273">
            <w:pPr>
              <w:pStyle w:val="biaogecenter"/>
              <w:wordWrap w:val="0"/>
              <w:rPr>
                <w:color w:val="000000"/>
              </w:rPr>
            </w:pPr>
            <w:r>
              <w:rPr>
                <w:rFonts w:hint="eastAsia"/>
                <w:color w:val="000000"/>
              </w:rPr>
              <w:t>公允价值(元)</w:t>
            </w:r>
          </w:p>
        </w:tc>
        <w:tc>
          <w:tcPr>
            <w:tcW w:w="1765" w:type="dxa"/>
            <w:tcBorders>
              <w:top w:val="single" w:sz="8" w:space="0" w:color="000000"/>
              <w:left w:val="nil"/>
              <w:bottom w:val="single" w:sz="8" w:space="0" w:color="000000"/>
              <w:right w:val="single" w:sz="8" w:space="0" w:color="000000"/>
            </w:tcBorders>
            <w:noWrap/>
            <w:vAlign w:val="center"/>
          </w:tcPr>
          <w:p w:rsidR="008957C1" w:rsidRDefault="00D42273">
            <w:pPr>
              <w:pStyle w:val="biaogecenter"/>
              <w:wordWrap w:val="0"/>
              <w:rPr>
                <w:color w:val="000000"/>
              </w:rPr>
            </w:pPr>
            <w:r>
              <w:rPr>
                <w:rFonts w:hint="eastAsia"/>
                <w:color w:val="000000"/>
              </w:rPr>
              <w:t>占产品资产净值比例（％）</w:t>
            </w:r>
          </w:p>
        </w:tc>
      </w:tr>
      <w:tr w:rsidR="00061C4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pPr>
            <w:r>
              <w:rPr>
                <w:rFonts w:hint="eastAsia"/>
                <w:color w:val="000000"/>
              </w:rPr>
              <w:t>1</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21088201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21扬州盛裕01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220,044,046.07</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12.43</w:t>
            </w:r>
          </w:p>
        </w:tc>
      </w:tr>
      <w:tr w:rsidR="00061C4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pPr>
            <w:r>
              <w:rPr>
                <w:rFonts w:hint="eastAsia"/>
                <w:color w:val="000000"/>
              </w:rPr>
              <w:t>2</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21088200</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21兴化城建01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100,018,749.53</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5.65</w:t>
            </w:r>
          </w:p>
        </w:tc>
      </w:tr>
      <w:tr w:rsidR="00061C4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pPr>
            <w:r>
              <w:rPr>
                <w:rFonts w:hint="eastAsia"/>
                <w:color w:val="000000"/>
              </w:rPr>
              <w:t>3</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101900449</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19钟楼经开MTN001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60,011,400.00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3.39</w:t>
            </w:r>
          </w:p>
        </w:tc>
      </w:tr>
      <w:tr w:rsidR="00061C4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pPr>
            <w:r>
              <w:rPr>
                <w:rFonts w:hint="eastAsia"/>
                <w:color w:val="000000"/>
              </w:rPr>
              <w:t>4</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167192</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20南黄海</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59,734,362.31</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3.37</w:t>
            </w:r>
          </w:p>
        </w:tc>
      </w:tr>
      <w:tr w:rsidR="00061C4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pPr>
            <w:r>
              <w:rPr>
                <w:rFonts w:hint="eastAsia"/>
                <w:color w:val="000000"/>
              </w:rPr>
              <w:t>5</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032000773</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20宁乡城投PPN002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51,009,500.00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2.88</w:t>
            </w:r>
          </w:p>
        </w:tc>
      </w:tr>
      <w:tr w:rsidR="00061C4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rPr>
                <w:color w:val="000000"/>
              </w:rPr>
            </w:pPr>
            <w:r>
              <w:rPr>
                <w:rFonts w:hint="eastAsia"/>
                <w:color w:val="000000"/>
              </w:rPr>
              <w:t>6</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032000520</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20乐山国资PPN002</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50,851,850.00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2.87</w:t>
            </w:r>
          </w:p>
        </w:tc>
      </w:tr>
      <w:tr w:rsidR="00061C4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rPr>
                <w:color w:val="000000"/>
              </w:rPr>
            </w:pPr>
            <w:r>
              <w:rPr>
                <w:rFonts w:hint="eastAsia"/>
                <w:color w:val="000000"/>
              </w:rPr>
              <w:t>7</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114795</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20城铁债</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50,478,600.00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2.85</w:t>
            </w:r>
          </w:p>
        </w:tc>
      </w:tr>
      <w:tr w:rsidR="00061C4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rPr>
                <w:color w:val="000000"/>
              </w:rPr>
            </w:pPr>
            <w:r>
              <w:rPr>
                <w:rFonts w:hint="eastAsia"/>
                <w:color w:val="000000"/>
              </w:rPr>
              <w:t>8</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032000351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20六合国资PPN001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50,421,500.00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2.85</w:t>
            </w:r>
          </w:p>
        </w:tc>
      </w:tr>
      <w:tr w:rsidR="00061C42">
        <w:trPr>
          <w:trHeight w:val="355"/>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rPr>
                <w:color w:val="000000"/>
              </w:rPr>
            </w:pPr>
            <w:r>
              <w:rPr>
                <w:rFonts w:hint="eastAsia"/>
                <w:color w:val="000000"/>
              </w:rPr>
              <w:t>9</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102000611</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20今世缘MTN001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50,350,350.00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2.84</w:t>
            </w:r>
          </w:p>
        </w:tc>
      </w:tr>
      <w:tr w:rsidR="00061C42">
        <w:trPr>
          <w:trHeight w:val="300"/>
        </w:trPr>
        <w:tc>
          <w:tcPr>
            <w:tcW w:w="582"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061C42" w:rsidRDefault="00061C42">
            <w:pPr>
              <w:pStyle w:val="biaogecenter"/>
              <w:wordWrap w:val="0"/>
              <w:rPr>
                <w:color w:val="000000"/>
              </w:rPr>
            </w:pPr>
            <w:r>
              <w:rPr>
                <w:rFonts w:hint="eastAsia"/>
                <w:color w:val="000000"/>
              </w:rPr>
              <w:t>10</w:t>
            </w:r>
          </w:p>
        </w:tc>
        <w:tc>
          <w:tcPr>
            <w:tcW w:w="1728" w:type="dxa"/>
            <w:tcBorders>
              <w:top w:val="single" w:sz="8" w:space="0" w:color="000000"/>
              <w:left w:val="nil"/>
              <w:bottom w:val="single" w:sz="8" w:space="0" w:color="000000"/>
              <w:right w:val="single" w:sz="8" w:space="0" w:color="000000"/>
            </w:tcBorders>
            <w:shd w:val="clear" w:color="auto" w:fill="auto"/>
            <w:noWrap/>
            <w:vAlign w:val="center"/>
          </w:tcPr>
          <w:p w:rsidR="00061C42" w:rsidRPr="00061C42" w:rsidRDefault="00061C42" w:rsidP="00061C42">
            <w:pPr>
              <w:pStyle w:val="biaogecenter"/>
              <w:wordWrap w:val="0"/>
              <w:rPr>
                <w:color w:val="000000"/>
              </w:rPr>
            </w:pPr>
            <w:r w:rsidRPr="00061C42">
              <w:rPr>
                <w:rFonts w:hint="eastAsia"/>
                <w:color w:val="000000"/>
              </w:rPr>
              <w:t>032000894</w:t>
            </w:r>
          </w:p>
        </w:tc>
        <w:tc>
          <w:tcPr>
            <w:tcW w:w="2690"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20沣东控股PPN001</w:t>
            </w:r>
          </w:p>
        </w:tc>
        <w:tc>
          <w:tcPr>
            <w:tcW w:w="203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50,335,500.00</w:t>
            </w:r>
          </w:p>
        </w:tc>
        <w:tc>
          <w:tcPr>
            <w:tcW w:w="1765" w:type="dxa"/>
            <w:tcBorders>
              <w:top w:val="single" w:sz="8" w:space="0" w:color="000000"/>
              <w:left w:val="nil"/>
              <w:bottom w:val="single" w:sz="8" w:space="0" w:color="000000"/>
              <w:right w:val="single" w:sz="8" w:space="0" w:color="000000"/>
            </w:tcBorders>
            <w:shd w:val="clear" w:color="000000" w:fill="FFFFFF"/>
            <w:noWrap/>
            <w:vAlign w:val="center"/>
          </w:tcPr>
          <w:p w:rsidR="00061C42" w:rsidRPr="00061C42" w:rsidRDefault="00061C42" w:rsidP="00061C42">
            <w:pPr>
              <w:pStyle w:val="biaogecenter"/>
              <w:wordWrap w:val="0"/>
              <w:rPr>
                <w:color w:val="000000"/>
              </w:rPr>
            </w:pPr>
            <w:r w:rsidRPr="00061C42">
              <w:rPr>
                <w:rFonts w:hint="eastAsia"/>
                <w:color w:val="000000"/>
              </w:rPr>
              <w:t>2.84</w:t>
            </w:r>
          </w:p>
        </w:tc>
      </w:tr>
    </w:tbl>
    <w:p w:rsidR="008957C1" w:rsidRDefault="008957C1">
      <w:pPr>
        <w:widowControl/>
        <w:jc w:val="left"/>
        <w:rPr>
          <w:rFonts w:ascii="宋体" w:hAnsi="宋体" w:cs="宋体"/>
          <w:b/>
          <w:sz w:val="24"/>
          <w:szCs w:val="24"/>
          <w:shd w:val="clear" w:color="auto" w:fill="FFFFFF"/>
        </w:rPr>
      </w:pPr>
    </w:p>
    <w:p w:rsidR="008957C1" w:rsidRDefault="00D42273">
      <w:pPr>
        <w:widowControl/>
        <w:jc w:val="left"/>
        <w:rPr>
          <w:rFonts w:ascii="宋体" w:hAnsi="宋体" w:cs="宋体"/>
          <w:b/>
          <w:sz w:val="24"/>
          <w:szCs w:val="24"/>
          <w:shd w:val="clear" w:color="auto" w:fill="FFFFFF"/>
        </w:rPr>
      </w:pPr>
      <w:r>
        <w:rPr>
          <w:rFonts w:ascii="宋体" w:hAnsi="宋体" w:cs="宋体" w:hint="eastAsia"/>
          <w:b/>
          <w:sz w:val="24"/>
          <w:szCs w:val="24"/>
          <w:shd w:val="clear" w:color="auto" w:fill="FFFFFF"/>
        </w:rPr>
        <w:t>4.3报告期末非标准化债权类资产明细</w:t>
      </w:r>
    </w:p>
    <w:p w:rsidR="008957C1" w:rsidRDefault="008957C1">
      <w:pPr>
        <w:widowControl/>
        <w:jc w:val="left"/>
        <w:rPr>
          <w:b/>
          <w:shd w:val="clear" w:color="auto" w:fill="FFFFFF"/>
        </w:rPr>
      </w:pPr>
    </w:p>
    <w:tbl>
      <w:tblPr>
        <w:tblW w:w="0" w:type="auto"/>
        <w:tblInd w:w="108" w:type="dxa"/>
        <w:tblLayout w:type="fixed"/>
        <w:tblLook w:val="04A0"/>
      </w:tblPr>
      <w:tblGrid>
        <w:gridCol w:w="519"/>
        <w:gridCol w:w="2175"/>
        <w:gridCol w:w="1701"/>
        <w:gridCol w:w="1134"/>
        <w:gridCol w:w="1275"/>
        <w:gridCol w:w="1276"/>
        <w:gridCol w:w="851"/>
      </w:tblGrid>
      <w:tr w:rsidR="008957C1" w:rsidTr="00061C42">
        <w:tc>
          <w:tcPr>
            <w:tcW w:w="519"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Ansi="Calibri" w:hint="eastAsia"/>
                <w:shd w:val="clear" w:color="auto" w:fill="FFFFFF"/>
              </w:rPr>
              <w:t>序号</w:t>
            </w:r>
          </w:p>
        </w:tc>
        <w:tc>
          <w:tcPr>
            <w:tcW w:w="2175"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int="eastAsia"/>
                <w:shd w:val="clear" w:color="auto" w:fill="FFFFFF"/>
              </w:rPr>
              <w:t>融资客户</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Ansi="Calibri" w:hint="eastAsia"/>
                <w:shd w:val="clear" w:color="auto" w:fill="FFFFFF"/>
              </w:rPr>
              <w:t>项目名称</w:t>
            </w:r>
          </w:p>
        </w:tc>
        <w:tc>
          <w:tcPr>
            <w:tcW w:w="1134"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int="eastAsia"/>
                <w:shd w:val="clear" w:color="auto" w:fill="FFFFFF"/>
              </w:rPr>
              <w:t>剩余融资期限</w:t>
            </w:r>
          </w:p>
        </w:tc>
        <w:tc>
          <w:tcPr>
            <w:tcW w:w="1275"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int="eastAsia"/>
                <w:shd w:val="clear" w:color="auto" w:fill="FFFFFF"/>
              </w:rPr>
              <w:t>到期收益分配</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int="eastAsia"/>
                <w:shd w:val="clear" w:color="auto" w:fill="FFFFFF"/>
              </w:rPr>
              <w:t>交易结构</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int="eastAsia"/>
                <w:shd w:val="clear" w:color="auto" w:fill="FFFFFF"/>
              </w:rPr>
              <w:t>风险状况</w:t>
            </w:r>
          </w:p>
        </w:tc>
      </w:tr>
      <w:tr w:rsidR="00061C42" w:rsidTr="00061C42">
        <w:tc>
          <w:tcPr>
            <w:tcW w:w="519" w:type="dxa"/>
            <w:tcBorders>
              <w:top w:val="single" w:sz="8" w:space="0" w:color="000000"/>
              <w:left w:val="single" w:sz="8" w:space="0" w:color="000000"/>
              <w:bottom w:val="single" w:sz="8" w:space="0" w:color="000000"/>
              <w:right w:val="single" w:sz="8" w:space="0" w:color="000000"/>
            </w:tcBorders>
            <w:noWrap/>
            <w:vAlign w:val="center"/>
          </w:tcPr>
          <w:p w:rsidR="00061C42" w:rsidRDefault="00061C42">
            <w:pPr>
              <w:pStyle w:val="biaogecenter"/>
              <w:rPr>
                <w:rFonts w:hAnsi="Calibri"/>
                <w:shd w:val="clear" w:color="auto" w:fill="FFFFFF"/>
              </w:rPr>
            </w:pPr>
            <w:r>
              <w:rPr>
                <w:rFonts w:hAnsi="Calibri" w:hint="eastAsia"/>
                <w:shd w:val="clear" w:color="auto" w:fill="FFFFFF"/>
              </w:rPr>
              <w:t>1</w:t>
            </w:r>
          </w:p>
        </w:tc>
        <w:tc>
          <w:tcPr>
            <w:tcW w:w="2175"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淮安红日交通投资发展有限公司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21淮安红日01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7天</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w:t>
            </w:r>
          </w:p>
        </w:tc>
      </w:tr>
      <w:tr w:rsidR="00061C42" w:rsidTr="00061C42">
        <w:tc>
          <w:tcPr>
            <w:tcW w:w="519" w:type="dxa"/>
            <w:tcBorders>
              <w:top w:val="single" w:sz="8" w:space="0" w:color="000000"/>
              <w:left w:val="single" w:sz="8" w:space="0" w:color="000000"/>
              <w:bottom w:val="single" w:sz="8" w:space="0" w:color="000000"/>
              <w:right w:val="single" w:sz="8" w:space="0" w:color="000000"/>
            </w:tcBorders>
            <w:noWrap/>
            <w:vAlign w:val="center"/>
          </w:tcPr>
          <w:p w:rsidR="00061C42" w:rsidRDefault="00061C42">
            <w:pPr>
              <w:pStyle w:val="biaogecenter"/>
              <w:wordWrap w:val="0"/>
              <w:rPr>
                <w:rFonts w:hAnsi="Calibri"/>
                <w:shd w:val="clear" w:color="auto" w:fill="FFFFFF"/>
              </w:rPr>
            </w:pPr>
            <w:r>
              <w:rPr>
                <w:rFonts w:hAnsi="Calibri" w:hint="eastAsia"/>
                <w:shd w:val="clear" w:color="auto" w:fill="FFFFFF"/>
              </w:rPr>
              <w:t>2</w:t>
            </w:r>
          </w:p>
        </w:tc>
        <w:tc>
          <w:tcPr>
            <w:tcW w:w="2175"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扬州盛裕投资发展有限公司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21扬州盛裕01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9天</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w:t>
            </w:r>
          </w:p>
        </w:tc>
      </w:tr>
      <w:tr w:rsidR="00061C42" w:rsidTr="00061C42">
        <w:tc>
          <w:tcPr>
            <w:tcW w:w="519" w:type="dxa"/>
            <w:tcBorders>
              <w:top w:val="single" w:sz="8" w:space="0" w:color="000000"/>
              <w:left w:val="single" w:sz="8" w:space="0" w:color="000000"/>
              <w:bottom w:val="single" w:sz="8" w:space="0" w:color="000000"/>
              <w:right w:val="single" w:sz="8" w:space="0" w:color="000000"/>
            </w:tcBorders>
            <w:noWrap/>
            <w:vAlign w:val="center"/>
          </w:tcPr>
          <w:p w:rsidR="00061C42" w:rsidRDefault="00061C42">
            <w:pPr>
              <w:pStyle w:val="biaogecenter"/>
              <w:wordWrap w:val="0"/>
              <w:rPr>
                <w:rFonts w:hAnsi="Calibri"/>
                <w:shd w:val="clear" w:color="auto" w:fill="FFFFFF"/>
              </w:rPr>
            </w:pPr>
            <w:r>
              <w:rPr>
                <w:rFonts w:hAnsi="Calibri" w:hint="eastAsia"/>
                <w:shd w:val="clear" w:color="auto" w:fill="FFFFFF"/>
              </w:rPr>
              <w:t>3</w:t>
            </w:r>
          </w:p>
        </w:tc>
        <w:tc>
          <w:tcPr>
            <w:tcW w:w="2175"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兴化市城市建设投资有限公司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21兴化城建01</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9天</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理财直接融资工具</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w:t>
            </w:r>
          </w:p>
        </w:tc>
      </w:tr>
      <w:tr w:rsidR="00061C42" w:rsidTr="00061C42">
        <w:tc>
          <w:tcPr>
            <w:tcW w:w="519" w:type="dxa"/>
            <w:tcBorders>
              <w:top w:val="single" w:sz="8" w:space="0" w:color="000000"/>
              <w:left w:val="single" w:sz="8" w:space="0" w:color="000000"/>
              <w:bottom w:val="single" w:sz="8" w:space="0" w:color="000000"/>
              <w:right w:val="single" w:sz="8" w:space="0" w:color="000000"/>
            </w:tcBorders>
            <w:noWrap/>
            <w:vAlign w:val="center"/>
          </w:tcPr>
          <w:p w:rsidR="00061C42" w:rsidRDefault="00061C42">
            <w:pPr>
              <w:pStyle w:val="biaogecenter"/>
              <w:wordWrap w:val="0"/>
              <w:rPr>
                <w:rFonts w:hAnsi="Calibri"/>
                <w:shd w:val="clear" w:color="auto" w:fill="FFFFFF"/>
              </w:rPr>
            </w:pPr>
            <w:r>
              <w:rPr>
                <w:rFonts w:hAnsi="Calibri" w:hint="eastAsia"/>
                <w:shd w:val="clear" w:color="auto" w:fill="FFFFFF"/>
              </w:rPr>
              <w:t>4</w:t>
            </w:r>
          </w:p>
        </w:tc>
        <w:tc>
          <w:tcPr>
            <w:tcW w:w="2175"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华夏金融租赁有限公司</w:t>
            </w:r>
          </w:p>
        </w:tc>
        <w:tc>
          <w:tcPr>
            <w:tcW w:w="1701"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同业借款（华夏金租）20211026</w:t>
            </w:r>
          </w:p>
        </w:tc>
        <w:tc>
          <w:tcPr>
            <w:tcW w:w="1134"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14天</w:t>
            </w:r>
          </w:p>
        </w:tc>
        <w:tc>
          <w:tcPr>
            <w:tcW w:w="1275"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利随本清</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同业借款</w:t>
            </w:r>
          </w:p>
        </w:tc>
        <w:tc>
          <w:tcPr>
            <w:tcW w:w="851" w:type="dxa"/>
            <w:tcBorders>
              <w:top w:val="single" w:sz="8" w:space="0" w:color="000000"/>
              <w:left w:val="single" w:sz="8" w:space="0" w:color="000000"/>
              <w:bottom w:val="single" w:sz="8"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w:t>
            </w:r>
          </w:p>
        </w:tc>
      </w:tr>
      <w:tr w:rsidR="00061C42" w:rsidTr="00061C42">
        <w:tc>
          <w:tcPr>
            <w:tcW w:w="519" w:type="dxa"/>
            <w:tcBorders>
              <w:top w:val="single" w:sz="8" w:space="0" w:color="000000"/>
              <w:left w:val="single" w:sz="8" w:space="0" w:color="000000"/>
              <w:bottom w:val="single" w:sz="6" w:space="0" w:color="000000"/>
              <w:right w:val="single" w:sz="8" w:space="0" w:color="000000"/>
            </w:tcBorders>
            <w:noWrap/>
            <w:vAlign w:val="center"/>
          </w:tcPr>
          <w:p w:rsidR="00061C42" w:rsidRDefault="00061C42">
            <w:pPr>
              <w:pStyle w:val="biaogecenter"/>
              <w:wordWrap w:val="0"/>
              <w:rPr>
                <w:rFonts w:hAnsi="Calibri"/>
                <w:shd w:val="clear" w:color="auto" w:fill="FFFFFF"/>
              </w:rPr>
            </w:pPr>
            <w:r>
              <w:rPr>
                <w:rFonts w:hAnsi="Calibri" w:hint="eastAsia"/>
                <w:shd w:val="clear" w:color="auto" w:fill="FFFFFF"/>
              </w:rPr>
              <w:t>5</w:t>
            </w:r>
          </w:p>
        </w:tc>
        <w:tc>
          <w:tcPr>
            <w:tcW w:w="2175" w:type="dxa"/>
            <w:tcBorders>
              <w:top w:val="single" w:sz="8" w:space="0" w:color="000000"/>
              <w:left w:val="single" w:sz="8" w:space="0" w:color="000000"/>
              <w:bottom w:val="single" w:sz="6"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华夏金融租赁有限公司</w:t>
            </w:r>
          </w:p>
        </w:tc>
        <w:tc>
          <w:tcPr>
            <w:tcW w:w="1701" w:type="dxa"/>
            <w:tcBorders>
              <w:top w:val="single" w:sz="8" w:space="0" w:color="000000"/>
              <w:left w:val="single" w:sz="8" w:space="0" w:color="000000"/>
              <w:bottom w:val="single" w:sz="6"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同业借款（华夏金租）2021111202</w:t>
            </w:r>
          </w:p>
        </w:tc>
        <w:tc>
          <w:tcPr>
            <w:tcW w:w="1134" w:type="dxa"/>
            <w:tcBorders>
              <w:top w:val="single" w:sz="8" w:space="0" w:color="000000"/>
              <w:left w:val="single" w:sz="8" w:space="0" w:color="000000"/>
              <w:bottom w:val="single" w:sz="6"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14天</w:t>
            </w:r>
          </w:p>
        </w:tc>
        <w:tc>
          <w:tcPr>
            <w:tcW w:w="1275" w:type="dxa"/>
            <w:tcBorders>
              <w:top w:val="single" w:sz="8" w:space="0" w:color="000000"/>
              <w:left w:val="single" w:sz="8" w:space="0" w:color="000000"/>
              <w:bottom w:val="single" w:sz="6"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利随本清</w:t>
            </w:r>
          </w:p>
        </w:tc>
        <w:tc>
          <w:tcPr>
            <w:tcW w:w="1276" w:type="dxa"/>
            <w:tcBorders>
              <w:top w:val="single" w:sz="8" w:space="0" w:color="000000"/>
              <w:left w:val="single" w:sz="8" w:space="0" w:color="000000"/>
              <w:bottom w:val="single" w:sz="6"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同业借款</w:t>
            </w:r>
          </w:p>
        </w:tc>
        <w:tc>
          <w:tcPr>
            <w:tcW w:w="851" w:type="dxa"/>
            <w:tcBorders>
              <w:top w:val="single" w:sz="8" w:space="0" w:color="000000"/>
              <w:left w:val="single" w:sz="8" w:space="0" w:color="000000"/>
              <w:bottom w:val="single" w:sz="6" w:space="0" w:color="000000"/>
              <w:right w:val="single" w:sz="8" w:space="0" w:color="000000"/>
            </w:tcBorders>
            <w:noWrap/>
            <w:vAlign w:val="center"/>
          </w:tcPr>
          <w:p w:rsidR="00061C42" w:rsidRPr="00061C42" w:rsidRDefault="00061C42" w:rsidP="00061C42">
            <w:pPr>
              <w:pStyle w:val="biaogecenter"/>
              <w:wordWrap w:val="0"/>
              <w:rPr>
                <w:shd w:val="clear" w:color="auto" w:fill="FFFFFF"/>
              </w:rPr>
            </w:pPr>
            <w:r w:rsidRPr="00061C42">
              <w:rPr>
                <w:rFonts w:hint="eastAsia"/>
                <w:shd w:val="clear" w:color="auto" w:fill="FFFFFF"/>
              </w:rPr>
              <w:t>-</w:t>
            </w:r>
          </w:p>
        </w:tc>
      </w:tr>
    </w:tbl>
    <w:p w:rsidR="008957C1" w:rsidRDefault="008957C1">
      <w:pPr>
        <w:widowControl/>
        <w:jc w:val="left"/>
        <w:rPr>
          <w:rFonts w:ascii="宋体" w:hAnsi="宋体" w:cs="宋体"/>
          <w:color w:val="000000"/>
          <w:kern w:val="0"/>
          <w:sz w:val="24"/>
          <w:szCs w:val="24"/>
        </w:rPr>
      </w:pPr>
    </w:p>
    <w:p w:rsidR="008957C1" w:rsidRDefault="00D42273">
      <w:pPr>
        <w:pStyle w:val="dazhangjie"/>
        <w:rPr>
          <w:b/>
          <w:bCs/>
          <w:color w:val="000000"/>
        </w:rPr>
      </w:pPr>
      <w:r>
        <w:rPr>
          <w:rFonts w:hint="eastAsia"/>
          <w:b/>
          <w:bCs/>
          <w:color w:val="000000"/>
        </w:rPr>
        <w:t>§5 投资账户信息</w:t>
      </w:r>
    </w:p>
    <w:tbl>
      <w:tblPr>
        <w:tblW w:w="4935" w:type="pct"/>
        <w:tblInd w:w="116" w:type="dxa"/>
        <w:tblLook w:val="04A0"/>
      </w:tblPr>
      <w:tblGrid>
        <w:gridCol w:w="711"/>
        <w:gridCol w:w="1315"/>
        <w:gridCol w:w="2386"/>
        <w:gridCol w:w="3457"/>
        <w:gridCol w:w="1316"/>
      </w:tblGrid>
      <w:tr w:rsidR="008957C1">
        <w:trPr>
          <w:trHeight w:val="705"/>
        </w:trPr>
        <w:tc>
          <w:tcPr>
            <w:tcW w:w="367" w:type="pct"/>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rPr>
                <w:shd w:val="clear" w:color="auto" w:fill="FFFFFF"/>
              </w:rPr>
            </w:pPr>
            <w:r>
              <w:rPr>
                <w:rFonts w:hAnsi="Calibri" w:hint="eastAsia"/>
                <w:shd w:val="clear" w:color="auto" w:fill="FFFFFF"/>
              </w:rPr>
              <w:t>序号</w:t>
            </w:r>
          </w:p>
        </w:tc>
        <w:tc>
          <w:tcPr>
            <w:tcW w:w="721" w:type="pct"/>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int="eastAsia"/>
                <w:shd w:val="clear" w:color="auto" w:fill="FFFFFF"/>
              </w:rPr>
              <w:t>账户类型</w:t>
            </w:r>
          </w:p>
        </w:tc>
        <w:tc>
          <w:tcPr>
            <w:tcW w:w="1303" w:type="pct"/>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Ansi="Calibri" w:hint="eastAsia"/>
                <w:shd w:val="clear" w:color="auto" w:fill="FFFFFF"/>
              </w:rPr>
              <w:t>账号</w:t>
            </w:r>
          </w:p>
        </w:tc>
        <w:tc>
          <w:tcPr>
            <w:tcW w:w="1886" w:type="pct"/>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int="eastAsia"/>
                <w:shd w:val="clear" w:color="auto" w:fill="FFFFFF"/>
              </w:rPr>
              <w:t>账户名称</w:t>
            </w:r>
          </w:p>
        </w:tc>
        <w:tc>
          <w:tcPr>
            <w:tcW w:w="721" w:type="pct"/>
            <w:tcBorders>
              <w:top w:val="single" w:sz="8" w:space="0" w:color="000000"/>
              <w:left w:val="single" w:sz="8" w:space="0" w:color="000000"/>
              <w:bottom w:val="single" w:sz="6" w:space="0" w:color="000000"/>
              <w:right w:val="single" w:sz="8" w:space="0" w:color="000000"/>
            </w:tcBorders>
            <w:noWrap/>
            <w:vAlign w:val="center"/>
          </w:tcPr>
          <w:p w:rsidR="008957C1" w:rsidRDefault="00D42273">
            <w:pPr>
              <w:pStyle w:val="biaogecenter"/>
              <w:wordWrap w:val="0"/>
              <w:rPr>
                <w:shd w:val="clear" w:color="auto" w:fill="FFFFFF"/>
              </w:rPr>
            </w:pPr>
            <w:r>
              <w:rPr>
                <w:rFonts w:hint="eastAsia"/>
                <w:shd w:val="clear" w:color="auto" w:fill="FFFFFF"/>
              </w:rPr>
              <w:t>开户单位</w:t>
            </w:r>
          </w:p>
        </w:tc>
      </w:tr>
      <w:tr w:rsidR="008957C1">
        <w:trPr>
          <w:trHeight w:val="364"/>
        </w:trPr>
        <w:tc>
          <w:tcPr>
            <w:tcW w:w="367" w:type="pct"/>
            <w:tcBorders>
              <w:top w:val="single" w:sz="8" w:space="0" w:color="000000"/>
              <w:left w:val="single" w:sz="8" w:space="0" w:color="000000"/>
              <w:bottom w:val="single" w:sz="8" w:space="0" w:color="000000"/>
              <w:right w:val="single" w:sz="8" w:space="0" w:color="000000"/>
            </w:tcBorders>
            <w:noWrap/>
            <w:vAlign w:val="center"/>
          </w:tcPr>
          <w:p w:rsidR="008957C1" w:rsidRDefault="00D42273">
            <w:pPr>
              <w:pStyle w:val="biaogecenter"/>
              <w:wordWrap w:val="0"/>
              <w:rPr>
                <w:shd w:val="clear" w:color="auto" w:fill="FFFFFF"/>
              </w:rPr>
            </w:pPr>
            <w:r>
              <w:rPr>
                <w:rFonts w:hAnsi="Calibri" w:hint="eastAsia"/>
                <w:shd w:val="clear" w:color="auto" w:fill="FFFFFF"/>
              </w:rPr>
              <w:t>1</w:t>
            </w:r>
          </w:p>
        </w:tc>
        <w:tc>
          <w:tcPr>
            <w:tcW w:w="721" w:type="pct"/>
            <w:tcBorders>
              <w:top w:val="single" w:sz="8" w:space="0" w:color="000000"/>
              <w:left w:val="single" w:sz="8" w:space="0" w:color="000000"/>
              <w:bottom w:val="single" w:sz="8" w:space="0" w:color="000000"/>
              <w:right w:val="single" w:sz="8" w:space="0" w:color="000000"/>
            </w:tcBorders>
            <w:noWrap/>
            <w:vAlign w:val="bottom"/>
          </w:tcPr>
          <w:p w:rsidR="008957C1" w:rsidRDefault="00D42273">
            <w:pPr>
              <w:pStyle w:val="biaogecenter"/>
              <w:wordWrap w:val="0"/>
              <w:rPr>
                <w:shd w:val="clear" w:color="auto" w:fill="FFFFFF"/>
              </w:rPr>
            </w:pPr>
            <w:r>
              <w:rPr>
                <w:shd w:val="clear" w:color="auto" w:fill="FFFFFF"/>
              </w:rPr>
              <w:t>托管账户</w:t>
            </w:r>
          </w:p>
        </w:tc>
        <w:tc>
          <w:tcPr>
            <w:tcW w:w="1303" w:type="pct"/>
            <w:tcBorders>
              <w:top w:val="single" w:sz="8" w:space="0" w:color="000000"/>
              <w:left w:val="single" w:sz="8" w:space="0" w:color="000000"/>
              <w:bottom w:val="single" w:sz="8" w:space="0" w:color="000000"/>
              <w:right w:val="single" w:sz="8" w:space="0" w:color="000000"/>
            </w:tcBorders>
            <w:noWrap/>
            <w:vAlign w:val="center"/>
          </w:tcPr>
          <w:p w:rsidR="008957C1" w:rsidRDefault="00D42273">
            <w:pPr>
              <w:pStyle w:val="biaogecenter"/>
              <w:wordWrap w:val="0"/>
              <w:rPr>
                <w:shd w:val="clear" w:color="auto" w:fill="FFFFFF"/>
              </w:rPr>
            </w:pPr>
            <w:r>
              <w:rPr>
                <w:shd w:val="clear" w:color="auto" w:fill="FFFFFF"/>
              </w:rPr>
              <w:t>0120000000000272</w:t>
            </w:r>
          </w:p>
        </w:tc>
        <w:tc>
          <w:tcPr>
            <w:tcW w:w="1886" w:type="pct"/>
            <w:tcBorders>
              <w:top w:val="single" w:sz="8" w:space="0" w:color="000000"/>
              <w:left w:val="single" w:sz="8" w:space="0" w:color="000000"/>
              <w:bottom w:val="single" w:sz="8" w:space="0" w:color="000000"/>
              <w:right w:val="single" w:sz="8" w:space="0" w:color="000000"/>
            </w:tcBorders>
            <w:noWrap/>
            <w:vAlign w:val="center"/>
          </w:tcPr>
          <w:p w:rsidR="008957C1" w:rsidRDefault="00D42273">
            <w:pPr>
              <w:pStyle w:val="biaogecenter"/>
              <w:wordWrap w:val="0"/>
              <w:rPr>
                <w:shd w:val="clear" w:color="auto" w:fill="FFFFFF"/>
              </w:rPr>
            </w:pPr>
            <w:r>
              <w:rPr>
                <w:shd w:val="clear" w:color="auto" w:fill="FFFFFF"/>
              </w:rPr>
              <w:t>南京银行安稳1904一年定开</w:t>
            </w:r>
          </w:p>
        </w:tc>
        <w:tc>
          <w:tcPr>
            <w:tcW w:w="721" w:type="pct"/>
            <w:tcBorders>
              <w:top w:val="single" w:sz="8" w:space="0" w:color="000000"/>
              <w:left w:val="single" w:sz="8" w:space="0" w:color="000000"/>
              <w:bottom w:val="single" w:sz="8" w:space="0" w:color="000000"/>
              <w:right w:val="single" w:sz="8" w:space="0" w:color="000000"/>
            </w:tcBorders>
            <w:noWrap/>
            <w:vAlign w:val="center"/>
          </w:tcPr>
          <w:p w:rsidR="008957C1" w:rsidRDefault="00D42273">
            <w:pPr>
              <w:pStyle w:val="biaogecenter"/>
              <w:wordWrap w:val="0"/>
              <w:rPr>
                <w:shd w:val="clear" w:color="auto" w:fill="FFFFFF"/>
              </w:rPr>
            </w:pPr>
            <w:r>
              <w:rPr>
                <w:shd w:val="clear" w:color="auto" w:fill="FFFFFF"/>
              </w:rPr>
              <w:t>南京银行</w:t>
            </w:r>
          </w:p>
        </w:tc>
      </w:tr>
    </w:tbl>
    <w:p w:rsidR="008957C1" w:rsidRDefault="008957C1">
      <w:pPr>
        <w:pStyle w:val="dazhangjie"/>
        <w:rPr>
          <w:b/>
          <w:bCs/>
          <w:color w:val="000000"/>
        </w:rPr>
      </w:pPr>
    </w:p>
    <w:p w:rsidR="008957C1" w:rsidRDefault="008957C1">
      <w:pPr>
        <w:pStyle w:val="a6"/>
        <w:rPr>
          <w:b/>
          <w:color w:val="000000"/>
        </w:rPr>
      </w:pPr>
    </w:p>
    <w:p w:rsidR="008957C1" w:rsidRDefault="008957C1">
      <w:pPr>
        <w:widowControl/>
        <w:jc w:val="left"/>
        <w:rPr>
          <w:rFonts w:ascii="宋体" w:hAnsi="宋体" w:cs="宋体"/>
          <w:color w:val="000000"/>
          <w:kern w:val="0"/>
          <w:sz w:val="24"/>
          <w:szCs w:val="24"/>
        </w:rPr>
      </w:pPr>
    </w:p>
    <w:p w:rsidR="008957C1" w:rsidRDefault="008957C1">
      <w:pPr>
        <w:widowControl/>
        <w:jc w:val="left"/>
        <w:rPr>
          <w:rFonts w:ascii="宋体" w:hAnsi="宋体" w:cs="宋体"/>
          <w:color w:val="000000"/>
          <w:kern w:val="0"/>
          <w:sz w:val="24"/>
          <w:szCs w:val="24"/>
        </w:rPr>
      </w:pPr>
    </w:p>
    <w:p w:rsidR="008957C1" w:rsidRDefault="008957C1">
      <w:pPr>
        <w:widowControl/>
        <w:jc w:val="left"/>
        <w:rPr>
          <w:color w:val="000000"/>
        </w:rPr>
      </w:pPr>
    </w:p>
    <w:p w:rsidR="008957C1" w:rsidRDefault="00D42273">
      <w:pPr>
        <w:pStyle w:val="biaogeright"/>
        <w:rPr>
          <w:rFonts w:hAnsi="Calibri"/>
          <w:b/>
          <w:bCs/>
          <w:color w:val="000000"/>
        </w:rPr>
      </w:pPr>
      <w:r>
        <w:rPr>
          <w:rFonts w:hAnsi="Calibri" w:hint="eastAsia"/>
          <w:b/>
          <w:bCs/>
          <w:color w:val="000000"/>
        </w:rPr>
        <w:t>南银理财有限责任公司</w:t>
      </w:r>
    </w:p>
    <w:p w:rsidR="008957C1" w:rsidRDefault="00651CF1" w:rsidP="00651CF1">
      <w:pPr>
        <w:pStyle w:val="biaogeright"/>
        <w:rPr>
          <w:rFonts w:hAnsi="Calibri"/>
          <w:b/>
          <w:bCs/>
          <w:color w:val="000000"/>
        </w:rPr>
      </w:pPr>
      <w:r>
        <w:rPr>
          <w:rFonts w:hAnsi="Calibri" w:hint="eastAsia"/>
          <w:b/>
          <w:bCs/>
          <w:color w:val="000000"/>
        </w:rPr>
        <w:t>2022年3月31日</w:t>
      </w:r>
    </w:p>
    <w:sectPr w:rsidR="008957C1" w:rsidSect="008957C1">
      <w:footerReference w:type="even" r:id="rId7"/>
      <w:footerReference w:type="default" r:id="rId8"/>
      <w:headerReference w:type="first" r:id="rId9"/>
      <w:type w:val="continuous"/>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F11" w:rsidRDefault="00006F11" w:rsidP="008957C1">
      <w:r>
        <w:separator/>
      </w:r>
    </w:p>
  </w:endnote>
  <w:endnote w:type="continuationSeparator" w:id="1">
    <w:p w:rsidR="00006F11" w:rsidRDefault="00006F11" w:rsidP="008957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7C1" w:rsidRDefault="008460E3">
    <w:pPr>
      <w:pStyle w:val="a4"/>
      <w:framePr w:wrap="around" w:vAnchor="text" w:hAnchor="margin" w:xAlign="center" w:y="1"/>
      <w:rPr>
        <w:rStyle w:val="a8"/>
      </w:rPr>
    </w:pPr>
    <w:r>
      <w:fldChar w:fldCharType="begin"/>
    </w:r>
    <w:r w:rsidR="00D42273">
      <w:rPr>
        <w:rStyle w:val="a8"/>
      </w:rPr>
      <w:instrText xml:space="preserve">PAGE  </w:instrText>
    </w:r>
    <w:r>
      <w:fldChar w:fldCharType="end"/>
    </w:r>
  </w:p>
  <w:p w:rsidR="008957C1" w:rsidRDefault="008957C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7C1" w:rsidRDefault="008957C1">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F11" w:rsidRDefault="00006F11" w:rsidP="008957C1">
      <w:r>
        <w:separator/>
      </w:r>
    </w:p>
  </w:footnote>
  <w:footnote w:type="continuationSeparator" w:id="1">
    <w:p w:rsidR="00006F11" w:rsidRDefault="00006F11" w:rsidP="008957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7C1" w:rsidRDefault="00D42273">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compressPunctuation"/>
  <w:hdrShapeDefaults>
    <o:shapedefaults v:ext="edit" spidmax="12290"/>
  </w:hdrShapeDefaults>
  <w:footnotePr>
    <w:footnote w:id="0"/>
    <w:footnote w:id="1"/>
  </w:footnotePr>
  <w:endnotePr>
    <w:endnote w:id="0"/>
    <w:endnote w:id="1"/>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2D6D4D01"/>
    <w:rsid w:val="000060E5"/>
    <w:rsid w:val="00006F11"/>
    <w:rsid w:val="000102DF"/>
    <w:rsid w:val="00030F14"/>
    <w:rsid w:val="00031AE6"/>
    <w:rsid w:val="00034FF6"/>
    <w:rsid w:val="00044BFF"/>
    <w:rsid w:val="0005474A"/>
    <w:rsid w:val="00061725"/>
    <w:rsid w:val="00061C42"/>
    <w:rsid w:val="00067886"/>
    <w:rsid w:val="000929E9"/>
    <w:rsid w:val="00093286"/>
    <w:rsid w:val="00097681"/>
    <w:rsid w:val="000A07E0"/>
    <w:rsid w:val="000B285B"/>
    <w:rsid w:val="000C44EE"/>
    <w:rsid w:val="000D5066"/>
    <w:rsid w:val="000D5F8E"/>
    <w:rsid w:val="000E534B"/>
    <w:rsid w:val="000F6191"/>
    <w:rsid w:val="000F6CC0"/>
    <w:rsid w:val="0010610C"/>
    <w:rsid w:val="00107539"/>
    <w:rsid w:val="00110E09"/>
    <w:rsid w:val="00130CE8"/>
    <w:rsid w:val="0013727B"/>
    <w:rsid w:val="00145A17"/>
    <w:rsid w:val="00152201"/>
    <w:rsid w:val="0016590B"/>
    <w:rsid w:val="00171D30"/>
    <w:rsid w:val="00176636"/>
    <w:rsid w:val="00183C84"/>
    <w:rsid w:val="00187EB5"/>
    <w:rsid w:val="001A0B70"/>
    <w:rsid w:val="001A339C"/>
    <w:rsid w:val="001C01BA"/>
    <w:rsid w:val="001C05F9"/>
    <w:rsid w:val="001C5395"/>
    <w:rsid w:val="001D5A30"/>
    <w:rsid w:val="001D72A9"/>
    <w:rsid w:val="001F4650"/>
    <w:rsid w:val="001F5321"/>
    <w:rsid w:val="002114A7"/>
    <w:rsid w:val="00211F26"/>
    <w:rsid w:val="002263FC"/>
    <w:rsid w:val="00231AC2"/>
    <w:rsid w:val="0023550F"/>
    <w:rsid w:val="0024254D"/>
    <w:rsid w:val="00251657"/>
    <w:rsid w:val="0026513C"/>
    <w:rsid w:val="002813D0"/>
    <w:rsid w:val="002900B6"/>
    <w:rsid w:val="00290D0E"/>
    <w:rsid w:val="00293D34"/>
    <w:rsid w:val="002978F3"/>
    <w:rsid w:val="002A01E0"/>
    <w:rsid w:val="002A3AE9"/>
    <w:rsid w:val="002B2C71"/>
    <w:rsid w:val="002B36BD"/>
    <w:rsid w:val="002C196E"/>
    <w:rsid w:val="002D7220"/>
    <w:rsid w:val="002D75D0"/>
    <w:rsid w:val="002E795C"/>
    <w:rsid w:val="002F3AEA"/>
    <w:rsid w:val="0030002B"/>
    <w:rsid w:val="0030118D"/>
    <w:rsid w:val="0030407F"/>
    <w:rsid w:val="00321CB7"/>
    <w:rsid w:val="003279EC"/>
    <w:rsid w:val="00336DF9"/>
    <w:rsid w:val="003379A9"/>
    <w:rsid w:val="00347110"/>
    <w:rsid w:val="00350ADF"/>
    <w:rsid w:val="00355623"/>
    <w:rsid w:val="00363F78"/>
    <w:rsid w:val="003648E0"/>
    <w:rsid w:val="00373526"/>
    <w:rsid w:val="00381E5C"/>
    <w:rsid w:val="003867E5"/>
    <w:rsid w:val="003A0419"/>
    <w:rsid w:val="003B1526"/>
    <w:rsid w:val="003B5524"/>
    <w:rsid w:val="003B73EB"/>
    <w:rsid w:val="003C2E6D"/>
    <w:rsid w:val="003E09EA"/>
    <w:rsid w:val="003E5046"/>
    <w:rsid w:val="003F0AC3"/>
    <w:rsid w:val="003F4A1B"/>
    <w:rsid w:val="004035EA"/>
    <w:rsid w:val="004135D0"/>
    <w:rsid w:val="00426B51"/>
    <w:rsid w:val="004432ED"/>
    <w:rsid w:val="00456251"/>
    <w:rsid w:val="004603DC"/>
    <w:rsid w:val="00466076"/>
    <w:rsid w:val="00487993"/>
    <w:rsid w:val="00487AA2"/>
    <w:rsid w:val="00490F25"/>
    <w:rsid w:val="004A5085"/>
    <w:rsid w:val="004C1607"/>
    <w:rsid w:val="004D4A18"/>
    <w:rsid w:val="004E0C32"/>
    <w:rsid w:val="004F3D57"/>
    <w:rsid w:val="00503D10"/>
    <w:rsid w:val="005069D8"/>
    <w:rsid w:val="0051548D"/>
    <w:rsid w:val="00531536"/>
    <w:rsid w:val="0054267A"/>
    <w:rsid w:val="00545F71"/>
    <w:rsid w:val="00551558"/>
    <w:rsid w:val="00561127"/>
    <w:rsid w:val="0056162E"/>
    <w:rsid w:val="00567DB3"/>
    <w:rsid w:val="00586A85"/>
    <w:rsid w:val="00594EC9"/>
    <w:rsid w:val="005B3434"/>
    <w:rsid w:val="005B77BD"/>
    <w:rsid w:val="005D5B56"/>
    <w:rsid w:val="005E775A"/>
    <w:rsid w:val="005F2C7B"/>
    <w:rsid w:val="005F4D04"/>
    <w:rsid w:val="006054F8"/>
    <w:rsid w:val="0061061C"/>
    <w:rsid w:val="0062696F"/>
    <w:rsid w:val="00626EB6"/>
    <w:rsid w:val="00641989"/>
    <w:rsid w:val="00644987"/>
    <w:rsid w:val="00651CF1"/>
    <w:rsid w:val="0065419A"/>
    <w:rsid w:val="00654220"/>
    <w:rsid w:val="00663B94"/>
    <w:rsid w:val="00674EC4"/>
    <w:rsid w:val="00677F66"/>
    <w:rsid w:val="00684926"/>
    <w:rsid w:val="006B7A7C"/>
    <w:rsid w:val="006C3B02"/>
    <w:rsid w:val="006D2006"/>
    <w:rsid w:val="006D4071"/>
    <w:rsid w:val="006E0D41"/>
    <w:rsid w:val="006E4E94"/>
    <w:rsid w:val="006F7C4D"/>
    <w:rsid w:val="007113CF"/>
    <w:rsid w:val="00714758"/>
    <w:rsid w:val="00730BEE"/>
    <w:rsid w:val="0073101E"/>
    <w:rsid w:val="00735153"/>
    <w:rsid w:val="00741092"/>
    <w:rsid w:val="00745421"/>
    <w:rsid w:val="00746812"/>
    <w:rsid w:val="00751240"/>
    <w:rsid w:val="00766DD5"/>
    <w:rsid w:val="00775CD3"/>
    <w:rsid w:val="00777A14"/>
    <w:rsid w:val="007A4219"/>
    <w:rsid w:val="007A6DDB"/>
    <w:rsid w:val="007C422D"/>
    <w:rsid w:val="007D0048"/>
    <w:rsid w:val="007E2E92"/>
    <w:rsid w:val="007E40DE"/>
    <w:rsid w:val="007F5739"/>
    <w:rsid w:val="00800534"/>
    <w:rsid w:val="0080200C"/>
    <w:rsid w:val="008036C2"/>
    <w:rsid w:val="00806689"/>
    <w:rsid w:val="00814110"/>
    <w:rsid w:val="0082561A"/>
    <w:rsid w:val="00831B46"/>
    <w:rsid w:val="008460E3"/>
    <w:rsid w:val="00846B2E"/>
    <w:rsid w:val="008517A9"/>
    <w:rsid w:val="00867F4F"/>
    <w:rsid w:val="00872F6C"/>
    <w:rsid w:val="0088632D"/>
    <w:rsid w:val="00890186"/>
    <w:rsid w:val="008926F7"/>
    <w:rsid w:val="0089287C"/>
    <w:rsid w:val="008957C1"/>
    <w:rsid w:val="008A7510"/>
    <w:rsid w:val="008B1EB1"/>
    <w:rsid w:val="008B672F"/>
    <w:rsid w:val="008C68AE"/>
    <w:rsid w:val="008C78BD"/>
    <w:rsid w:val="008E165F"/>
    <w:rsid w:val="008E3B3F"/>
    <w:rsid w:val="008E5CC6"/>
    <w:rsid w:val="008F0C19"/>
    <w:rsid w:val="008F342A"/>
    <w:rsid w:val="00900D90"/>
    <w:rsid w:val="0090692A"/>
    <w:rsid w:val="00916D74"/>
    <w:rsid w:val="009354D6"/>
    <w:rsid w:val="00964838"/>
    <w:rsid w:val="00970A98"/>
    <w:rsid w:val="00970F7B"/>
    <w:rsid w:val="00981ECB"/>
    <w:rsid w:val="00983B6A"/>
    <w:rsid w:val="009964B2"/>
    <w:rsid w:val="009B35CC"/>
    <w:rsid w:val="009B48B1"/>
    <w:rsid w:val="009C781F"/>
    <w:rsid w:val="009D3E39"/>
    <w:rsid w:val="009E6170"/>
    <w:rsid w:val="00A17243"/>
    <w:rsid w:val="00A4484F"/>
    <w:rsid w:val="00A60E33"/>
    <w:rsid w:val="00A6112A"/>
    <w:rsid w:val="00A76D4B"/>
    <w:rsid w:val="00A77C47"/>
    <w:rsid w:val="00A90AAF"/>
    <w:rsid w:val="00A9119C"/>
    <w:rsid w:val="00AA2969"/>
    <w:rsid w:val="00AA4549"/>
    <w:rsid w:val="00AB0A11"/>
    <w:rsid w:val="00AB0CFC"/>
    <w:rsid w:val="00AB6691"/>
    <w:rsid w:val="00AC5144"/>
    <w:rsid w:val="00AD3F7A"/>
    <w:rsid w:val="00AD6FA5"/>
    <w:rsid w:val="00AD77C5"/>
    <w:rsid w:val="00AE0098"/>
    <w:rsid w:val="00AE519B"/>
    <w:rsid w:val="00AF3190"/>
    <w:rsid w:val="00AF6377"/>
    <w:rsid w:val="00B05543"/>
    <w:rsid w:val="00B13014"/>
    <w:rsid w:val="00B21B25"/>
    <w:rsid w:val="00B33B19"/>
    <w:rsid w:val="00B404E6"/>
    <w:rsid w:val="00B4360D"/>
    <w:rsid w:val="00B45ACD"/>
    <w:rsid w:val="00B54409"/>
    <w:rsid w:val="00B67966"/>
    <w:rsid w:val="00B74DCA"/>
    <w:rsid w:val="00B82278"/>
    <w:rsid w:val="00B876F6"/>
    <w:rsid w:val="00B96D3F"/>
    <w:rsid w:val="00BA2F89"/>
    <w:rsid w:val="00BB1EF2"/>
    <w:rsid w:val="00BC3903"/>
    <w:rsid w:val="00BC789C"/>
    <w:rsid w:val="00BD7297"/>
    <w:rsid w:val="00BE196A"/>
    <w:rsid w:val="00BE47E0"/>
    <w:rsid w:val="00BF75C8"/>
    <w:rsid w:val="00BF7723"/>
    <w:rsid w:val="00C175CA"/>
    <w:rsid w:val="00C1762E"/>
    <w:rsid w:val="00C30A48"/>
    <w:rsid w:val="00C35FA6"/>
    <w:rsid w:val="00C43741"/>
    <w:rsid w:val="00C457B8"/>
    <w:rsid w:val="00C52E56"/>
    <w:rsid w:val="00C57B86"/>
    <w:rsid w:val="00C640FB"/>
    <w:rsid w:val="00C65651"/>
    <w:rsid w:val="00CB054E"/>
    <w:rsid w:val="00CB2114"/>
    <w:rsid w:val="00CC232E"/>
    <w:rsid w:val="00CC29AF"/>
    <w:rsid w:val="00CC52D7"/>
    <w:rsid w:val="00CD1D4C"/>
    <w:rsid w:val="00CE23EF"/>
    <w:rsid w:val="00CF6C89"/>
    <w:rsid w:val="00D0449D"/>
    <w:rsid w:val="00D12201"/>
    <w:rsid w:val="00D2360B"/>
    <w:rsid w:val="00D23AB6"/>
    <w:rsid w:val="00D34279"/>
    <w:rsid w:val="00D42273"/>
    <w:rsid w:val="00D50309"/>
    <w:rsid w:val="00D51AA9"/>
    <w:rsid w:val="00D7264A"/>
    <w:rsid w:val="00D72B45"/>
    <w:rsid w:val="00D84E43"/>
    <w:rsid w:val="00DA4BE9"/>
    <w:rsid w:val="00DA4FE7"/>
    <w:rsid w:val="00DB0C2F"/>
    <w:rsid w:val="00DB3BF6"/>
    <w:rsid w:val="00DC31CC"/>
    <w:rsid w:val="00DC3361"/>
    <w:rsid w:val="00DC728A"/>
    <w:rsid w:val="00DD51B6"/>
    <w:rsid w:val="00DD597C"/>
    <w:rsid w:val="00DE67E4"/>
    <w:rsid w:val="00E00594"/>
    <w:rsid w:val="00E01920"/>
    <w:rsid w:val="00E155DF"/>
    <w:rsid w:val="00E41B5E"/>
    <w:rsid w:val="00E555CC"/>
    <w:rsid w:val="00E623AB"/>
    <w:rsid w:val="00E81EDF"/>
    <w:rsid w:val="00E87176"/>
    <w:rsid w:val="00E9797A"/>
    <w:rsid w:val="00EA5D3D"/>
    <w:rsid w:val="00EB0FBF"/>
    <w:rsid w:val="00EB6C63"/>
    <w:rsid w:val="00EC4DE1"/>
    <w:rsid w:val="00ED4637"/>
    <w:rsid w:val="00EE0436"/>
    <w:rsid w:val="00EE7C80"/>
    <w:rsid w:val="00F14AD5"/>
    <w:rsid w:val="00F41324"/>
    <w:rsid w:val="00F42715"/>
    <w:rsid w:val="00F609FD"/>
    <w:rsid w:val="00F66874"/>
    <w:rsid w:val="00F73BCB"/>
    <w:rsid w:val="00F81345"/>
    <w:rsid w:val="00F859AB"/>
    <w:rsid w:val="00F939D0"/>
    <w:rsid w:val="00F950D0"/>
    <w:rsid w:val="00FA2C26"/>
    <w:rsid w:val="00FA650F"/>
    <w:rsid w:val="00FB2875"/>
    <w:rsid w:val="00FB6E8E"/>
    <w:rsid w:val="022C2410"/>
    <w:rsid w:val="026D0131"/>
    <w:rsid w:val="03643C6B"/>
    <w:rsid w:val="037A1E29"/>
    <w:rsid w:val="04EE43A7"/>
    <w:rsid w:val="05430913"/>
    <w:rsid w:val="066933CB"/>
    <w:rsid w:val="06CE78F2"/>
    <w:rsid w:val="08143E27"/>
    <w:rsid w:val="086A4C04"/>
    <w:rsid w:val="0B6F1F7D"/>
    <w:rsid w:val="0C673246"/>
    <w:rsid w:val="0D7F33C7"/>
    <w:rsid w:val="0DF37BFF"/>
    <w:rsid w:val="0E9D6641"/>
    <w:rsid w:val="1418619C"/>
    <w:rsid w:val="14975605"/>
    <w:rsid w:val="14A01541"/>
    <w:rsid w:val="15FE575C"/>
    <w:rsid w:val="1677277F"/>
    <w:rsid w:val="174F6B4B"/>
    <w:rsid w:val="18270B7C"/>
    <w:rsid w:val="185505DC"/>
    <w:rsid w:val="18C666BE"/>
    <w:rsid w:val="1AA87F19"/>
    <w:rsid w:val="1B363C6A"/>
    <w:rsid w:val="1B8A5B02"/>
    <w:rsid w:val="1DD376B7"/>
    <w:rsid w:val="1E911FB2"/>
    <w:rsid w:val="206D37DF"/>
    <w:rsid w:val="233002B5"/>
    <w:rsid w:val="236036FD"/>
    <w:rsid w:val="23A05440"/>
    <w:rsid w:val="23C50556"/>
    <w:rsid w:val="24755425"/>
    <w:rsid w:val="24960C0F"/>
    <w:rsid w:val="277874DD"/>
    <w:rsid w:val="2933258B"/>
    <w:rsid w:val="298E16C7"/>
    <w:rsid w:val="29B461DF"/>
    <w:rsid w:val="2B7C5C81"/>
    <w:rsid w:val="2D6D4D01"/>
    <w:rsid w:val="2D722AF9"/>
    <w:rsid w:val="2F132635"/>
    <w:rsid w:val="30077F05"/>
    <w:rsid w:val="3121340F"/>
    <w:rsid w:val="331E381D"/>
    <w:rsid w:val="336668FA"/>
    <w:rsid w:val="36316B15"/>
    <w:rsid w:val="368076E6"/>
    <w:rsid w:val="388D7049"/>
    <w:rsid w:val="3A5E67F0"/>
    <w:rsid w:val="3AF80478"/>
    <w:rsid w:val="3C0E0AC1"/>
    <w:rsid w:val="3DE33F68"/>
    <w:rsid w:val="3E555FD6"/>
    <w:rsid w:val="3FB22C0A"/>
    <w:rsid w:val="40897464"/>
    <w:rsid w:val="40E1302A"/>
    <w:rsid w:val="42BE08E7"/>
    <w:rsid w:val="433A3D7A"/>
    <w:rsid w:val="43A019F4"/>
    <w:rsid w:val="4622464B"/>
    <w:rsid w:val="46A13001"/>
    <w:rsid w:val="4A9A51B9"/>
    <w:rsid w:val="4DEC7E75"/>
    <w:rsid w:val="4E276A76"/>
    <w:rsid w:val="4F8709AB"/>
    <w:rsid w:val="50C47F64"/>
    <w:rsid w:val="53300D28"/>
    <w:rsid w:val="55CC3E04"/>
    <w:rsid w:val="55E57CB6"/>
    <w:rsid w:val="564B4BD9"/>
    <w:rsid w:val="56696C12"/>
    <w:rsid w:val="57AD6E41"/>
    <w:rsid w:val="580B5AEB"/>
    <w:rsid w:val="5D1D443F"/>
    <w:rsid w:val="5E337017"/>
    <w:rsid w:val="5FBD11D0"/>
    <w:rsid w:val="61237A57"/>
    <w:rsid w:val="61B402D8"/>
    <w:rsid w:val="62217543"/>
    <w:rsid w:val="62342F4C"/>
    <w:rsid w:val="64F6329D"/>
    <w:rsid w:val="652A577F"/>
    <w:rsid w:val="65E55D8E"/>
    <w:rsid w:val="6898111C"/>
    <w:rsid w:val="6983088A"/>
    <w:rsid w:val="6A485270"/>
    <w:rsid w:val="6A8C6809"/>
    <w:rsid w:val="6B37137A"/>
    <w:rsid w:val="6BC34E37"/>
    <w:rsid w:val="6C145AA4"/>
    <w:rsid w:val="6DFD23E8"/>
    <w:rsid w:val="6F307698"/>
    <w:rsid w:val="702B184D"/>
    <w:rsid w:val="704B76D3"/>
    <w:rsid w:val="709D748C"/>
    <w:rsid w:val="73193673"/>
    <w:rsid w:val="77AF351E"/>
    <w:rsid w:val="78467F33"/>
    <w:rsid w:val="7A056855"/>
    <w:rsid w:val="7B582B92"/>
    <w:rsid w:val="7D36154A"/>
    <w:rsid w:val="7D8E47C1"/>
    <w:rsid w:val="7E3D508D"/>
    <w:rsid w:val="7FCE743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57C1"/>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8957C1"/>
    <w:rPr>
      <w:sz w:val="18"/>
      <w:szCs w:val="18"/>
      <w:lang/>
    </w:rPr>
  </w:style>
  <w:style w:type="paragraph" w:styleId="a4">
    <w:name w:val="footer"/>
    <w:basedOn w:val="a"/>
    <w:link w:val="Char0"/>
    <w:uiPriority w:val="99"/>
    <w:unhideWhenUsed/>
    <w:qFormat/>
    <w:rsid w:val="008957C1"/>
    <w:pPr>
      <w:tabs>
        <w:tab w:val="center" w:pos="4153"/>
        <w:tab w:val="right" w:pos="8306"/>
      </w:tabs>
      <w:snapToGrid w:val="0"/>
      <w:jc w:val="left"/>
    </w:pPr>
    <w:rPr>
      <w:kern w:val="0"/>
      <w:sz w:val="18"/>
      <w:szCs w:val="18"/>
      <w:lang/>
    </w:rPr>
  </w:style>
  <w:style w:type="paragraph" w:styleId="a5">
    <w:name w:val="header"/>
    <w:basedOn w:val="a"/>
    <w:link w:val="Char1"/>
    <w:uiPriority w:val="99"/>
    <w:unhideWhenUsed/>
    <w:qFormat/>
    <w:rsid w:val="008957C1"/>
    <w:pPr>
      <w:pBdr>
        <w:bottom w:val="single" w:sz="6" w:space="1" w:color="auto"/>
      </w:pBdr>
      <w:tabs>
        <w:tab w:val="center" w:pos="4153"/>
        <w:tab w:val="right" w:pos="8306"/>
      </w:tabs>
      <w:snapToGrid w:val="0"/>
      <w:jc w:val="center"/>
    </w:pPr>
    <w:rPr>
      <w:kern w:val="0"/>
      <w:sz w:val="18"/>
      <w:szCs w:val="18"/>
      <w:lang/>
    </w:rPr>
  </w:style>
  <w:style w:type="paragraph" w:styleId="a6">
    <w:name w:val="Normal (Web)"/>
    <w:basedOn w:val="a"/>
    <w:qFormat/>
    <w:rsid w:val="008957C1"/>
    <w:pPr>
      <w:widowControl/>
      <w:spacing w:before="100" w:beforeAutospacing="1" w:after="100" w:afterAutospacing="1"/>
      <w:jc w:val="left"/>
    </w:pPr>
    <w:rPr>
      <w:rFonts w:ascii="宋体" w:hAnsi="宋体"/>
      <w:kern w:val="0"/>
      <w:sz w:val="24"/>
      <w:szCs w:val="24"/>
    </w:rPr>
  </w:style>
  <w:style w:type="table" w:styleId="a7">
    <w:name w:val="Table Grid"/>
    <w:basedOn w:val="a1"/>
    <w:uiPriority w:val="59"/>
    <w:qFormat/>
    <w:rsid w:val="008957C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rsid w:val="008957C1"/>
  </w:style>
  <w:style w:type="paragraph" w:customStyle="1" w:styleId="zhongyaotishi">
    <w:name w:val="zhongyaotishi"/>
    <w:basedOn w:val="a"/>
    <w:qFormat/>
    <w:rsid w:val="008957C1"/>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2">
    <w:name w:val="zhangjie_p2"/>
    <w:basedOn w:val="a"/>
    <w:qFormat/>
    <w:rsid w:val="008957C1"/>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msonormalfy">
    <w:name w:val="msonormalfy"/>
    <w:qFormat/>
    <w:rsid w:val="008957C1"/>
    <w:pPr>
      <w:widowControl w:val="0"/>
      <w:jc w:val="center"/>
    </w:pPr>
    <w:rPr>
      <w:kern w:val="2"/>
      <w:sz w:val="33"/>
      <w:szCs w:val="22"/>
    </w:rPr>
  </w:style>
  <w:style w:type="paragraph" w:customStyle="1" w:styleId="neirong">
    <w:name w:val="neirong"/>
    <w:basedOn w:val="a"/>
    <w:qFormat/>
    <w:rsid w:val="008957C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hide">
    <w:name w:val="hide"/>
    <w:basedOn w:val="a"/>
    <w:qFormat/>
    <w:rsid w:val="008957C1"/>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8957C1"/>
    <w:pPr>
      <w:widowControl/>
      <w:spacing w:before="100" w:beforeAutospacing="1" w:after="100" w:afterAutospacing="1"/>
      <w:jc w:val="left"/>
    </w:pPr>
    <w:rPr>
      <w:rFonts w:ascii="宋体" w:hAnsi="宋体" w:cs="宋体"/>
      <w:kern w:val="0"/>
      <w:sz w:val="24"/>
      <w:szCs w:val="24"/>
    </w:rPr>
  </w:style>
  <w:style w:type="paragraph" w:customStyle="1" w:styleId="biaogeleft">
    <w:name w:val="biaoge_left"/>
    <w:basedOn w:val="a"/>
    <w:qFormat/>
    <w:rsid w:val="008957C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8957C1"/>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msonormalnone">
    <w:name w:val="msonormal_none"/>
    <w:qFormat/>
    <w:rsid w:val="008957C1"/>
    <w:pPr>
      <w:widowControl w:val="0"/>
    </w:pPr>
    <w:rPr>
      <w:kern w:val="2"/>
      <w:sz w:val="21"/>
      <w:szCs w:val="22"/>
    </w:rPr>
  </w:style>
  <w:style w:type="paragraph" w:customStyle="1" w:styleId="biaogecenter">
    <w:name w:val="biaoge_center"/>
    <w:basedOn w:val="a"/>
    <w:qFormat/>
    <w:rsid w:val="008957C1"/>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
    <w:name w:val="正文1"/>
    <w:qFormat/>
    <w:rsid w:val="008957C1"/>
    <w:pPr>
      <w:jc w:val="both"/>
    </w:pPr>
    <w:rPr>
      <w:kern w:val="2"/>
      <w:sz w:val="21"/>
      <w:szCs w:val="21"/>
    </w:rPr>
  </w:style>
  <w:style w:type="paragraph" w:customStyle="1" w:styleId="biaogeright1">
    <w:name w:val="biaoge_right1"/>
    <w:basedOn w:val="a"/>
    <w:qFormat/>
    <w:rsid w:val="008957C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8957C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dazhangjie">
    <w:name w:val="dazhangjie"/>
    <w:basedOn w:val="a"/>
    <w:qFormat/>
    <w:rsid w:val="008957C1"/>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character" w:customStyle="1" w:styleId="Char">
    <w:name w:val="批注框文本 Char"/>
    <w:link w:val="a3"/>
    <w:uiPriority w:val="99"/>
    <w:semiHidden/>
    <w:qFormat/>
    <w:rsid w:val="008957C1"/>
    <w:rPr>
      <w:kern w:val="2"/>
      <w:sz w:val="18"/>
      <w:szCs w:val="18"/>
    </w:rPr>
  </w:style>
  <w:style w:type="character" w:customStyle="1" w:styleId="Char0">
    <w:name w:val="页脚 Char"/>
    <w:link w:val="a4"/>
    <w:uiPriority w:val="99"/>
    <w:semiHidden/>
    <w:qFormat/>
    <w:locked/>
    <w:rsid w:val="008957C1"/>
    <w:rPr>
      <w:rFonts w:ascii="Times New Roman" w:hAnsi="Times New Roman" w:cs="Times New Roman" w:hint="default"/>
      <w:sz w:val="18"/>
      <w:szCs w:val="18"/>
    </w:rPr>
  </w:style>
  <w:style w:type="character" w:customStyle="1" w:styleId="Char1">
    <w:name w:val="页眉 Char"/>
    <w:link w:val="a5"/>
    <w:uiPriority w:val="99"/>
    <w:semiHidden/>
    <w:qFormat/>
    <w:locked/>
    <w:rsid w:val="008957C1"/>
    <w:rPr>
      <w:rFonts w:ascii="Times New Roman" w:hAnsi="Times New Roman" w:cs="Times New Roman" w:hint="default"/>
      <w:sz w:val="18"/>
      <w:szCs w:val="18"/>
    </w:rPr>
  </w:style>
  <w:style w:type="table" w:customStyle="1" w:styleId="dqbgxx">
    <w:name w:val="dqbgxx"/>
    <w:basedOn w:val="a1"/>
    <w:qFormat/>
    <w:rsid w:val="008957C1"/>
    <w:pPr>
      <w:spacing w:line="288" w:lineRule="auto"/>
      <w:jc w:val="center"/>
    </w:pPr>
    <w:rPr>
      <w:rFonts w:eastAsia="黑体"/>
      <w:color w:val="000000"/>
      <w:sz w:val="22"/>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rFonts w:eastAsia="黑体" w:hint="default"/>
        <w:b/>
        <w:sz w:val="22"/>
      </w:rPr>
    </w:tblStylePr>
    <w:tblStylePr w:type="firstCol">
      <w:rPr>
        <w:rFonts w:eastAsia="黑体" w:hint="default"/>
        <w:b/>
      </w:rPr>
    </w:tblStylePr>
  </w:style>
  <w:style w:type="paragraph" w:customStyle="1" w:styleId="dqbgbnwz">
    <w:name w:val="dqbgbnwz"/>
    <w:basedOn w:val="a"/>
    <w:link w:val="dqbgbnwzChar"/>
    <w:qFormat/>
    <w:rsid w:val="008957C1"/>
    <w:pPr>
      <w:widowControl/>
      <w:spacing w:line="288" w:lineRule="auto"/>
      <w:jc w:val="center"/>
    </w:pPr>
    <w:rPr>
      <w:rFonts w:eastAsia="黑体" w:cs="宋体"/>
      <w:kern w:val="0"/>
      <w:sz w:val="22"/>
      <w:szCs w:val="24"/>
    </w:rPr>
  </w:style>
  <w:style w:type="character" w:customStyle="1" w:styleId="dqbgbnwzChar">
    <w:name w:val="dqbgbnwz Char"/>
    <w:basedOn w:val="a0"/>
    <w:link w:val="dqbgbnwz"/>
    <w:qFormat/>
    <w:rsid w:val="008957C1"/>
    <w:rPr>
      <w:rFonts w:ascii="Times New Roman" w:eastAsia="黑体" w:hAnsi="Times New Roman" w:cs="宋体"/>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394</Words>
  <Characters>2249</Characters>
  <Application>Microsoft Office Word</Application>
  <DocSecurity>0</DocSecurity>
  <Lines>18</Lines>
  <Paragraphs>5</Paragraphs>
  <ScaleCrop>false</ScaleCrop>
  <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Luvian</dc:creator>
  <cp:lastModifiedBy>NJCB</cp:lastModifiedBy>
  <cp:revision>41</cp:revision>
  <dcterms:created xsi:type="dcterms:W3CDTF">2021-06-30T07:28:00Z</dcterms:created>
  <dcterms:modified xsi:type="dcterms:W3CDTF">2022-04-19T09:34:00Z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