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19A" w:rsidRDefault="009E119A">
      <w:pPr>
        <w:pStyle w:val="dazhangjie"/>
        <w:ind w:left="0"/>
        <w:jc w:val="both"/>
        <w:rPr>
          <w:b/>
          <w:bCs/>
          <w:color w:val="000000"/>
        </w:rPr>
      </w:pPr>
    </w:p>
    <w:p w:rsidR="009E119A" w:rsidRDefault="009E119A">
      <w:pPr>
        <w:pStyle w:val="dazhangjie"/>
        <w:ind w:left="0"/>
        <w:jc w:val="both"/>
        <w:rPr>
          <w:b/>
          <w:bCs/>
          <w:color w:val="000000"/>
        </w:rPr>
      </w:pPr>
    </w:p>
    <w:p w:rsidR="009E119A" w:rsidRDefault="009E119A">
      <w:pPr>
        <w:pStyle w:val="dazhangjie"/>
        <w:ind w:left="0"/>
        <w:jc w:val="both"/>
        <w:rPr>
          <w:b/>
          <w:bCs/>
          <w:color w:val="000000"/>
        </w:rPr>
      </w:pPr>
    </w:p>
    <w:p w:rsidR="009E119A" w:rsidRDefault="00981C34">
      <w:pPr>
        <w:pStyle w:val="dazhangjie"/>
        <w:spacing w:before="240" w:after="120"/>
        <w:rPr>
          <w:rFonts w:ascii="黑体" w:eastAsia="黑体"/>
          <w:b/>
          <w:bCs/>
          <w:color w:val="000000"/>
          <w:sz w:val="36"/>
        </w:rPr>
      </w:pPr>
      <w:r>
        <w:rPr>
          <w:rFonts w:ascii="黑体" w:eastAsia="黑体" w:hint="eastAsia"/>
          <w:b/>
          <w:bCs/>
          <w:color w:val="000000"/>
          <w:sz w:val="36"/>
        </w:rPr>
        <w:t>南银理财珠联璧合安稳1903一年定开公募人民币理财产品</w:t>
      </w:r>
    </w:p>
    <w:p w:rsidR="009E119A" w:rsidRDefault="0061309D">
      <w:pPr>
        <w:pStyle w:val="dazhangjie"/>
        <w:spacing w:before="240" w:after="120"/>
        <w:rPr>
          <w:rFonts w:ascii="黑体" w:eastAsia="黑体" w:hAnsi="黑体"/>
          <w:b/>
          <w:bCs/>
          <w:color w:val="000000"/>
          <w:sz w:val="36"/>
        </w:rPr>
      </w:pPr>
      <w:r>
        <w:rPr>
          <w:rFonts w:ascii="黑体" w:eastAsia="黑体" w:hAnsi="黑体"/>
          <w:b/>
          <w:bCs/>
          <w:color w:val="000000"/>
          <w:sz w:val="36"/>
        </w:rPr>
        <w:t>2022年</w:t>
      </w:r>
      <w:r w:rsidR="000E4F41">
        <w:rPr>
          <w:rFonts w:ascii="黑体" w:eastAsia="黑体" w:hAnsi="黑体" w:hint="eastAsia"/>
          <w:b/>
          <w:bCs/>
          <w:color w:val="000000"/>
          <w:sz w:val="36"/>
        </w:rPr>
        <w:t>半年</w:t>
      </w:r>
      <w:r>
        <w:rPr>
          <w:rFonts w:ascii="黑体" w:eastAsia="黑体" w:hAnsi="黑体"/>
          <w:b/>
          <w:bCs/>
          <w:color w:val="000000"/>
          <w:sz w:val="36"/>
        </w:rPr>
        <w:t>度报告</w:t>
      </w:r>
    </w:p>
    <w:p w:rsidR="009E119A" w:rsidRDefault="009E119A">
      <w:pPr>
        <w:pStyle w:val="dazhangjie"/>
        <w:spacing w:before="240" w:after="120"/>
        <w:rPr>
          <w:rFonts w:ascii="黑体" w:eastAsia="黑体" w:hAnsi="黑体"/>
          <w:b/>
          <w:bCs/>
          <w:color w:val="000000"/>
          <w:sz w:val="36"/>
        </w:rPr>
      </w:pPr>
    </w:p>
    <w:p w:rsidR="009E119A" w:rsidRDefault="009E119A">
      <w:pPr>
        <w:pStyle w:val="dazhangjie"/>
        <w:spacing w:before="240" w:after="120"/>
        <w:rPr>
          <w:rFonts w:ascii="黑体" w:eastAsia="黑体" w:hAnsi="黑体"/>
          <w:b/>
          <w:bCs/>
          <w:color w:val="000000"/>
          <w:sz w:val="36"/>
        </w:rPr>
      </w:pPr>
    </w:p>
    <w:p w:rsidR="009E119A" w:rsidRDefault="009E119A">
      <w:pPr>
        <w:pStyle w:val="dazhangjie"/>
        <w:spacing w:before="240" w:after="120"/>
        <w:rPr>
          <w:rFonts w:ascii="黑体" w:eastAsia="黑体" w:hAnsi="黑体"/>
          <w:b/>
          <w:bCs/>
          <w:color w:val="000000"/>
          <w:sz w:val="36"/>
        </w:rPr>
      </w:pPr>
    </w:p>
    <w:p w:rsidR="009E119A" w:rsidRDefault="009E119A">
      <w:pPr>
        <w:pStyle w:val="dazhangjie"/>
        <w:spacing w:before="240" w:after="120"/>
        <w:rPr>
          <w:rFonts w:ascii="黑体" w:eastAsia="黑体" w:hAnsi="黑体"/>
          <w:b/>
          <w:bCs/>
          <w:color w:val="000000"/>
          <w:sz w:val="36"/>
        </w:rPr>
      </w:pPr>
    </w:p>
    <w:p w:rsidR="009E119A" w:rsidRDefault="009E119A">
      <w:pPr>
        <w:pStyle w:val="dazhangjie"/>
        <w:spacing w:before="240" w:after="120"/>
        <w:ind w:left="0"/>
        <w:jc w:val="both"/>
        <w:rPr>
          <w:rFonts w:ascii="黑体" w:eastAsia="黑体" w:hAnsi="黑体"/>
          <w:b/>
          <w:bCs/>
          <w:color w:val="000000"/>
          <w:sz w:val="36"/>
        </w:rPr>
      </w:pPr>
    </w:p>
    <w:p w:rsidR="009E119A" w:rsidRDefault="00981C34">
      <w:pPr>
        <w:pStyle w:val="dazhangjie"/>
        <w:spacing w:before="240" w:after="120"/>
        <w:rPr>
          <w:b/>
          <w:bCs/>
          <w:color w:val="000000"/>
        </w:rPr>
      </w:pPr>
      <w:r>
        <w:rPr>
          <w:rFonts w:hint="eastAsia"/>
          <w:b/>
          <w:bCs/>
          <w:color w:val="000000"/>
        </w:rPr>
        <w:t>产品</w:t>
      </w:r>
      <w:r>
        <w:rPr>
          <w:b/>
          <w:bCs/>
          <w:color w:val="000000"/>
        </w:rPr>
        <w:t>管理人:南银理财有限责任公司</w:t>
      </w:r>
    </w:p>
    <w:p w:rsidR="009E119A" w:rsidRDefault="00981C34">
      <w:pPr>
        <w:pStyle w:val="dazhangjie"/>
        <w:spacing w:before="240" w:after="120"/>
        <w:rPr>
          <w:b/>
          <w:bCs/>
          <w:color w:val="000000"/>
        </w:rPr>
      </w:pPr>
      <w:r>
        <w:rPr>
          <w:rFonts w:hint="eastAsia"/>
          <w:b/>
          <w:bCs/>
          <w:color w:val="000000"/>
        </w:rPr>
        <w:t>产品</w:t>
      </w:r>
      <w:r>
        <w:rPr>
          <w:b/>
          <w:bCs/>
          <w:color w:val="000000"/>
        </w:rPr>
        <w:t>托管人:南京银行股份有限公司</w:t>
      </w:r>
    </w:p>
    <w:p w:rsidR="009E119A" w:rsidRDefault="00981C34">
      <w:pPr>
        <w:widowControl/>
        <w:jc w:val="left"/>
        <w:rPr>
          <w:b/>
          <w:bCs/>
          <w:color w:val="000000"/>
        </w:rPr>
      </w:pPr>
      <w:r>
        <w:rPr>
          <w:rFonts w:hint="eastAsia"/>
          <w:b/>
          <w:bCs/>
          <w:color w:val="000000"/>
        </w:rPr>
        <w:br w:type="page"/>
      </w:r>
    </w:p>
    <w:p w:rsidR="009E119A" w:rsidRDefault="00981C34">
      <w:pPr>
        <w:pStyle w:val="dazhangjie"/>
        <w:rPr>
          <w:color w:val="000000"/>
        </w:rPr>
      </w:pPr>
      <w:r>
        <w:rPr>
          <w:rFonts w:hAnsi="Calibri" w:hint="eastAsia"/>
          <w:b/>
          <w:color w:val="000000"/>
        </w:rPr>
        <w:t>§1 产品概况</w:t>
      </w:r>
    </w:p>
    <w:p w:rsidR="009E119A" w:rsidRDefault="009E119A">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9E119A">
        <w:tc>
          <w:tcPr>
            <w:tcW w:w="2811"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pPr>
            <w:r>
              <w:rPr>
                <w:rFonts w:hint="eastAsia"/>
              </w:rPr>
              <w:t>南银理财珠联璧合安稳1903一年定开公募人民币理财产品</w:t>
            </w:r>
          </w:p>
        </w:tc>
      </w:tr>
      <w:tr w:rsidR="009E119A">
        <w:tc>
          <w:tcPr>
            <w:tcW w:w="2811"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pPr>
            <w:r>
              <w:rPr>
                <w:rFonts w:hint="eastAsia"/>
              </w:rPr>
              <w:t>Z7003221000028（投资者可依据该编码在中国理财网www.chinawealth.com.cn查询理财产品相关信息）</w:t>
            </w:r>
          </w:p>
        </w:tc>
      </w:tr>
      <w:tr w:rsidR="009E119A">
        <w:tc>
          <w:tcPr>
            <w:tcW w:w="2811"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rPr>
                <w:color w:val="000000"/>
              </w:rPr>
            </w:pPr>
            <w:r>
              <w:rPr>
                <w:rFonts w:hint="eastAsia"/>
                <w:color w:val="000000"/>
              </w:rPr>
              <w:t>开放式净值型</w:t>
            </w:r>
          </w:p>
        </w:tc>
      </w:tr>
      <w:tr w:rsidR="009E119A">
        <w:tc>
          <w:tcPr>
            <w:tcW w:w="2811"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rPr>
                <w:color w:val="000000"/>
              </w:rPr>
            </w:pPr>
            <w:r>
              <w:rPr>
                <w:color w:val="000000"/>
              </w:rPr>
              <w:t>2019年03月06日</w:t>
            </w:r>
          </w:p>
        </w:tc>
      </w:tr>
      <w:tr w:rsidR="009E119A">
        <w:tc>
          <w:tcPr>
            <w:tcW w:w="2811"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E119A" w:rsidRDefault="0061309D">
            <w:pPr>
              <w:pStyle w:val="biaogeleft"/>
              <w:wordWrap w:val="0"/>
            </w:pPr>
            <w:r>
              <w:t>1,323,110,627.37份</w:t>
            </w:r>
          </w:p>
        </w:tc>
      </w:tr>
      <w:tr w:rsidR="000E4F41">
        <w:tc>
          <w:tcPr>
            <w:tcW w:w="2811" w:type="dxa"/>
            <w:tcBorders>
              <w:top w:val="single" w:sz="8" w:space="0" w:color="000000"/>
              <w:left w:val="single" w:sz="8" w:space="0" w:color="000000"/>
              <w:bottom w:val="single" w:sz="6" w:space="0" w:color="000000"/>
              <w:right w:val="single" w:sz="8" w:space="0" w:color="000000"/>
            </w:tcBorders>
            <w:noWrap/>
            <w:vAlign w:val="center"/>
          </w:tcPr>
          <w:p w:rsidR="000E4F41" w:rsidRDefault="000E4F41" w:rsidP="00107E38">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0E4F41" w:rsidRDefault="0079089D" w:rsidP="00107E38">
            <w:pPr>
              <w:pStyle w:val="biaogeleft"/>
              <w:wordWrap w:val="0"/>
            </w:pPr>
            <w:r>
              <w:t>100.10%</w:t>
            </w:r>
          </w:p>
        </w:tc>
      </w:tr>
      <w:tr w:rsidR="009E119A">
        <w:tc>
          <w:tcPr>
            <w:tcW w:w="2811"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E119A" w:rsidRDefault="00BA7D5C">
            <w:pPr>
              <w:pStyle w:val="biaogeleft"/>
              <w:wordWrap w:val="0"/>
              <w:rPr>
                <w:color w:val="000000"/>
              </w:rPr>
            </w:pPr>
            <w:r>
              <w:rPr>
                <w:color w:val="000000"/>
              </w:rPr>
              <w:t>-</w:t>
            </w:r>
          </w:p>
        </w:tc>
      </w:tr>
      <w:tr w:rsidR="009E119A">
        <w:tc>
          <w:tcPr>
            <w:tcW w:w="2811"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neirong"/>
              <w:wordWrap w:val="0"/>
              <w:rPr>
                <w:color w:val="000000"/>
              </w:rPr>
            </w:pPr>
            <w:r>
              <w:rPr>
                <w:color w:val="000000"/>
              </w:rPr>
              <w:t>南银理财有限责任公司</w:t>
            </w:r>
          </w:p>
        </w:tc>
      </w:tr>
      <w:tr w:rsidR="009E119A">
        <w:tc>
          <w:tcPr>
            <w:tcW w:w="2811"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rPr>
                <w:color w:val="000000"/>
              </w:rPr>
            </w:pPr>
            <w:r>
              <w:rPr>
                <w:color w:val="000000"/>
              </w:rPr>
              <w:t>南京银行股份有限公司</w:t>
            </w:r>
          </w:p>
        </w:tc>
      </w:tr>
    </w:tbl>
    <w:p w:rsidR="009E119A" w:rsidRDefault="009E119A">
      <w:pPr>
        <w:widowControl/>
        <w:jc w:val="left"/>
        <w:rPr>
          <w:rFonts w:ascii="宋体" w:hAnsi="宋体" w:cs="宋体"/>
          <w:color w:val="000000"/>
          <w:kern w:val="0"/>
          <w:sz w:val="24"/>
          <w:szCs w:val="24"/>
        </w:rPr>
      </w:pPr>
    </w:p>
    <w:p w:rsidR="009E119A" w:rsidRDefault="00E53D53">
      <w:pPr>
        <w:pStyle w:val="dazhangjie"/>
        <w:rPr>
          <w:color w:val="000000"/>
        </w:rPr>
      </w:pPr>
      <w:r>
        <w:rPr>
          <w:rFonts w:hAnsi="Calibri" w:hint="eastAsia"/>
          <w:b/>
          <w:color w:val="000000"/>
        </w:rPr>
        <w:t>§2  主要财务指标和产品</w:t>
      </w:r>
      <w:r>
        <w:rPr>
          <w:rFonts w:hint="eastAsia"/>
          <w:b/>
          <w:bCs/>
          <w:color w:val="000000"/>
        </w:rPr>
        <w:t>业绩比较基准</w:t>
      </w:r>
    </w:p>
    <w:p w:rsidR="009E119A" w:rsidRDefault="00981C34">
      <w:pPr>
        <w:pStyle w:val="zhangjiep"/>
        <w:ind w:left="0"/>
        <w:rPr>
          <w:color w:val="000000"/>
        </w:rPr>
      </w:pPr>
      <w:r>
        <w:rPr>
          <w:rFonts w:hint="eastAsia"/>
          <w:b/>
          <w:bCs/>
          <w:color w:val="000000"/>
        </w:rPr>
        <w:t>2.1 主要财务指标</w:t>
      </w:r>
    </w:p>
    <w:p w:rsidR="009E119A" w:rsidRDefault="00981C34">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5187"/>
      </w:tblGrid>
      <w:tr w:rsidR="009E119A">
        <w:tc>
          <w:tcPr>
            <w:tcW w:w="4135" w:type="dxa"/>
            <w:noWrap/>
            <w:vAlign w:val="center"/>
          </w:tcPr>
          <w:p w:rsidR="009E119A" w:rsidRDefault="00981C34">
            <w:pPr>
              <w:pStyle w:val="a6"/>
              <w:wordWrap w:val="0"/>
              <w:jc w:val="center"/>
              <w:rPr>
                <w:b/>
                <w:bCs/>
                <w:color w:val="000000"/>
              </w:rPr>
            </w:pPr>
            <w:r>
              <w:rPr>
                <w:rFonts w:hint="eastAsia"/>
                <w:b/>
                <w:bCs/>
                <w:color w:val="000000"/>
              </w:rPr>
              <w:t>主要财务指标</w:t>
            </w:r>
          </w:p>
        </w:tc>
        <w:tc>
          <w:tcPr>
            <w:tcW w:w="5187" w:type="dxa"/>
            <w:noWrap/>
          </w:tcPr>
          <w:p w:rsidR="009E119A" w:rsidRDefault="0079089D" w:rsidP="000E4F41">
            <w:pPr>
              <w:pStyle w:val="zhangjiep"/>
              <w:jc w:val="center"/>
              <w:rPr>
                <w:b/>
                <w:bCs/>
                <w:color w:val="000000"/>
              </w:rPr>
            </w:pPr>
            <w:r>
              <w:rPr>
                <w:rFonts w:hint="eastAsia"/>
              </w:rPr>
              <w:t>报告期（</w:t>
            </w:r>
            <w:r>
              <w:t>2022年01月01日-2022年06月30日)</w:t>
            </w:r>
          </w:p>
        </w:tc>
      </w:tr>
      <w:tr w:rsidR="009E119A">
        <w:tc>
          <w:tcPr>
            <w:tcW w:w="4135" w:type="dxa"/>
            <w:noWrap/>
            <w:vAlign w:val="center"/>
          </w:tcPr>
          <w:p w:rsidR="009E119A" w:rsidRDefault="00981C34">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5187" w:type="dxa"/>
            <w:noWrap/>
            <w:vAlign w:val="center"/>
          </w:tcPr>
          <w:p w:rsidR="009E119A" w:rsidRDefault="0061309D">
            <w:pPr>
              <w:pStyle w:val="biaogeright"/>
              <w:jc w:val="center"/>
              <w:rPr>
                <w:b/>
                <w:bCs/>
                <w:color w:val="000000"/>
              </w:rPr>
            </w:pPr>
            <w:r>
              <w:rPr>
                <w:color w:val="000000"/>
              </w:rPr>
              <w:t>1,342,687,834.27</w:t>
            </w:r>
          </w:p>
        </w:tc>
      </w:tr>
      <w:tr w:rsidR="009E119A">
        <w:tc>
          <w:tcPr>
            <w:tcW w:w="4135" w:type="dxa"/>
            <w:noWrap/>
            <w:vAlign w:val="center"/>
          </w:tcPr>
          <w:p w:rsidR="009E119A" w:rsidRDefault="00981C34">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5187" w:type="dxa"/>
            <w:noWrap/>
            <w:vAlign w:val="center"/>
          </w:tcPr>
          <w:p w:rsidR="009E119A" w:rsidRDefault="0061309D">
            <w:pPr>
              <w:pStyle w:val="biaogeright"/>
              <w:jc w:val="center"/>
              <w:rPr>
                <w:b/>
                <w:bCs/>
                <w:color w:val="000000"/>
              </w:rPr>
            </w:pPr>
            <w:r>
              <w:rPr>
                <w:color w:val="000000"/>
              </w:rPr>
              <w:t>1.0147</w:t>
            </w:r>
          </w:p>
        </w:tc>
      </w:tr>
      <w:tr w:rsidR="009E119A">
        <w:tc>
          <w:tcPr>
            <w:tcW w:w="4135" w:type="dxa"/>
            <w:noWrap/>
            <w:vAlign w:val="center"/>
          </w:tcPr>
          <w:p w:rsidR="009E119A" w:rsidRDefault="00981C34">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5187" w:type="dxa"/>
            <w:noWrap/>
            <w:vAlign w:val="center"/>
          </w:tcPr>
          <w:p w:rsidR="009E119A" w:rsidRDefault="0061309D">
            <w:pPr>
              <w:pStyle w:val="biaogeright"/>
              <w:jc w:val="center"/>
              <w:rPr>
                <w:b/>
                <w:bCs/>
                <w:color w:val="000000"/>
              </w:rPr>
            </w:pPr>
            <w:r>
              <w:rPr>
                <w:color w:val="000000"/>
              </w:rPr>
              <w:t>1.1552</w:t>
            </w:r>
          </w:p>
        </w:tc>
      </w:tr>
      <w:tr w:rsidR="000E4F41">
        <w:tc>
          <w:tcPr>
            <w:tcW w:w="4135" w:type="dxa"/>
            <w:noWrap/>
            <w:vAlign w:val="center"/>
          </w:tcPr>
          <w:p w:rsidR="000E4F41" w:rsidRDefault="000E4F41" w:rsidP="00107E38">
            <w:pPr>
              <w:pStyle w:val="a6"/>
              <w:wordWrap w:val="0"/>
              <w:rPr>
                <w:shd w:val="clear" w:color="auto" w:fill="FFFFFF"/>
              </w:rPr>
            </w:pPr>
            <w:r>
              <w:rPr>
                <w:shd w:val="clear" w:color="auto" w:fill="FFFFFF"/>
              </w:rPr>
              <w:t>4.</w:t>
            </w:r>
            <w:r>
              <w:rPr>
                <w:rFonts w:hint="eastAsia"/>
                <w:shd w:val="clear" w:color="auto" w:fill="FFFFFF"/>
              </w:rPr>
              <w:t>其它费用</w:t>
            </w:r>
          </w:p>
        </w:tc>
        <w:tc>
          <w:tcPr>
            <w:tcW w:w="5187" w:type="dxa"/>
            <w:noWrap/>
            <w:vAlign w:val="center"/>
          </w:tcPr>
          <w:p w:rsidR="000E4F41" w:rsidRDefault="0079089D">
            <w:pPr>
              <w:pStyle w:val="biaogeright"/>
              <w:jc w:val="center"/>
              <w:rPr>
                <w:color w:val="000000"/>
              </w:rPr>
            </w:pPr>
            <w:r>
              <w:rPr>
                <w:color w:val="000000"/>
              </w:rPr>
              <w:t>22,450.00</w:t>
            </w:r>
          </w:p>
        </w:tc>
      </w:tr>
    </w:tbl>
    <w:p w:rsidR="009E119A" w:rsidRDefault="00981C34">
      <w:pPr>
        <w:pStyle w:val="biaogeleft"/>
        <w:ind w:left="0"/>
        <w:rPr>
          <w:color w:val="000000"/>
        </w:rPr>
      </w:pPr>
      <w:r>
        <w:rPr>
          <w:rFonts w:hint="eastAsia"/>
        </w:rPr>
        <w:t>注：产品净值可能存在未扣除管理人及投资合作机构业绩报酬、赎回费等费用（如有）的情况，实际收益以兑付为准。</w:t>
      </w:r>
    </w:p>
    <w:p w:rsidR="00E53D53" w:rsidRDefault="00E53D53" w:rsidP="00E53D53">
      <w:pPr>
        <w:pStyle w:val="biaogeleft"/>
        <w:ind w:left="0"/>
        <w:rPr>
          <w:color w:val="000000"/>
        </w:rPr>
      </w:pPr>
    </w:p>
    <w:p w:rsidR="00E53D53" w:rsidRDefault="00E53D53" w:rsidP="00E53D53">
      <w:pPr>
        <w:widowControl/>
        <w:autoSpaceDE w:val="0"/>
        <w:autoSpaceDN w:val="0"/>
        <w:adjustRightInd w:val="0"/>
        <w:spacing w:before="24" w:line="288" w:lineRule="auto"/>
        <w:jc w:val="left"/>
        <w:outlineLvl w:val="1"/>
        <w:rPr>
          <w:rFonts w:ascii="宋体" w:hAnsi="宋体" w:cs="宋体"/>
          <w:color w:val="000000"/>
          <w:kern w:val="0"/>
          <w:sz w:val="24"/>
          <w:szCs w:val="24"/>
        </w:rPr>
      </w:pPr>
      <w:r>
        <w:rPr>
          <w:rFonts w:ascii="宋体" w:hAnsi="宋体" w:cs="宋体"/>
          <w:b/>
          <w:bCs/>
          <w:color w:val="000000"/>
          <w:kern w:val="0"/>
          <w:sz w:val="24"/>
          <w:szCs w:val="24"/>
        </w:rPr>
        <w:t xml:space="preserve">2.2 </w:t>
      </w:r>
      <w:r>
        <w:rPr>
          <w:rFonts w:ascii="宋体" w:hAnsi="宋体" w:cs="宋体" w:hint="eastAsia"/>
          <w:b/>
          <w:bCs/>
          <w:color w:val="000000"/>
          <w:kern w:val="0"/>
          <w:sz w:val="24"/>
          <w:szCs w:val="24"/>
        </w:rPr>
        <w:t>产品业绩比较基准</w:t>
      </w:r>
    </w:p>
    <w:p w:rsidR="00E53D53" w:rsidRDefault="00E53D53" w:rsidP="00E53D53">
      <w:pPr>
        <w:widowControl/>
        <w:autoSpaceDE w:val="0"/>
        <w:autoSpaceDN w:val="0"/>
        <w:adjustRightInd w:val="0"/>
        <w:spacing w:before="24" w:line="288" w:lineRule="auto"/>
        <w:ind w:left="15"/>
        <w:jc w:val="left"/>
        <w:rPr>
          <w:rFonts w:ascii="宋体" w:hAnsi="宋体" w:cs="宋体"/>
          <w:b/>
          <w:bCs/>
          <w:color w:val="000000"/>
          <w:kern w:val="0"/>
          <w:sz w:val="24"/>
          <w:szCs w:val="24"/>
        </w:rPr>
      </w:pPr>
      <w:r>
        <w:rPr>
          <w:rFonts w:ascii="宋体" w:hAnsi="宋体" w:cs="宋体"/>
          <w:b/>
          <w:bCs/>
          <w:color w:val="000000"/>
          <w:kern w:val="0"/>
          <w:sz w:val="24"/>
          <w:szCs w:val="24"/>
        </w:rPr>
        <w:t>2.2.1</w:t>
      </w:r>
      <w:r>
        <w:rPr>
          <w:rFonts w:ascii="宋体" w:hAnsi="宋体" w:cs="宋体" w:hint="eastAsia"/>
          <w:b/>
          <w:bCs/>
          <w:color w:val="000000"/>
          <w:kern w:val="0"/>
          <w:sz w:val="24"/>
          <w:szCs w:val="24"/>
        </w:rPr>
        <w:t>本报告期产品业绩比较基准</w:t>
      </w:r>
    </w:p>
    <w:tbl>
      <w:tblPr>
        <w:tblW w:w="6399" w:type="dxa"/>
        <w:tblInd w:w="108" w:type="dxa"/>
        <w:tblLayout w:type="fixed"/>
        <w:tblLook w:val="04A0"/>
      </w:tblPr>
      <w:tblGrid>
        <w:gridCol w:w="4046"/>
        <w:gridCol w:w="2353"/>
      </w:tblGrid>
      <w:tr w:rsidR="00E53D53" w:rsidTr="001B0A45">
        <w:tc>
          <w:tcPr>
            <w:tcW w:w="4046" w:type="dxa"/>
            <w:tcBorders>
              <w:top w:val="single" w:sz="8" w:space="0" w:color="000000"/>
              <w:left w:val="single" w:sz="8" w:space="0" w:color="000000"/>
              <w:bottom w:val="single" w:sz="6" w:space="0" w:color="000000"/>
              <w:right w:val="single" w:sz="8" w:space="0" w:color="000000"/>
            </w:tcBorders>
            <w:vAlign w:val="center"/>
          </w:tcPr>
          <w:p w:rsidR="00E53D53" w:rsidRDefault="00E53D53" w:rsidP="001B0A45">
            <w:pPr>
              <w:widowControl/>
              <w:wordWrap w:val="0"/>
              <w:autoSpaceDE w:val="0"/>
              <w:autoSpaceDN w:val="0"/>
              <w:adjustRightInd w:val="0"/>
              <w:spacing w:before="29" w:line="288" w:lineRule="auto"/>
              <w:ind w:left="15"/>
              <w:jc w:val="center"/>
              <w:rPr>
                <w:rFonts w:ascii="宋体" w:hAnsi="宋体" w:cs="宋体"/>
                <w:color w:val="000000"/>
                <w:kern w:val="0"/>
                <w:sz w:val="24"/>
                <w:szCs w:val="24"/>
              </w:rPr>
            </w:pPr>
            <w:r>
              <w:rPr>
                <w:rFonts w:ascii="宋体" w:hAnsi="Calibri" w:cs="宋体" w:hint="eastAsia"/>
                <w:color w:val="000000"/>
                <w:kern w:val="0"/>
                <w:sz w:val="24"/>
                <w:szCs w:val="24"/>
              </w:rPr>
              <w:t>阶段</w:t>
            </w:r>
          </w:p>
        </w:tc>
        <w:tc>
          <w:tcPr>
            <w:tcW w:w="2353" w:type="dxa"/>
            <w:tcBorders>
              <w:top w:val="single" w:sz="8" w:space="0" w:color="000000"/>
              <w:left w:val="single" w:sz="8" w:space="0" w:color="000000"/>
              <w:bottom w:val="single" w:sz="6" w:space="0" w:color="000000"/>
              <w:right w:val="single" w:sz="8" w:space="0" w:color="000000"/>
            </w:tcBorders>
            <w:vAlign w:val="center"/>
          </w:tcPr>
          <w:p w:rsidR="00E53D53" w:rsidRDefault="00E53D53" w:rsidP="001B0A45">
            <w:pPr>
              <w:widowControl/>
              <w:wordWrap w:val="0"/>
              <w:autoSpaceDE w:val="0"/>
              <w:autoSpaceDN w:val="0"/>
              <w:adjustRightInd w:val="0"/>
              <w:spacing w:before="29" w:line="288" w:lineRule="auto"/>
              <w:ind w:left="15"/>
              <w:jc w:val="center"/>
              <w:rPr>
                <w:rFonts w:ascii="宋体" w:hAnsi="宋体" w:cs="宋体"/>
                <w:color w:val="000000"/>
                <w:kern w:val="0"/>
                <w:sz w:val="24"/>
                <w:szCs w:val="24"/>
              </w:rPr>
            </w:pPr>
            <w:r>
              <w:rPr>
                <w:rFonts w:ascii="宋体" w:hAnsi="Calibri" w:cs="宋体" w:hint="eastAsia"/>
                <w:color w:val="000000"/>
                <w:kern w:val="0"/>
                <w:sz w:val="24"/>
                <w:szCs w:val="24"/>
              </w:rPr>
              <w:t>业绩比较基准</w:t>
            </w:r>
          </w:p>
        </w:tc>
      </w:tr>
      <w:tr w:rsidR="00FF663E" w:rsidTr="001B0A45">
        <w:tc>
          <w:tcPr>
            <w:tcW w:w="4046" w:type="dxa"/>
            <w:tcBorders>
              <w:top w:val="single" w:sz="8" w:space="0" w:color="000000"/>
              <w:left w:val="single" w:sz="8" w:space="0" w:color="000000"/>
              <w:bottom w:val="single" w:sz="6" w:space="0" w:color="000000"/>
              <w:right w:val="single" w:sz="8" w:space="0" w:color="000000"/>
            </w:tcBorders>
            <w:vAlign w:val="center"/>
          </w:tcPr>
          <w:p w:rsidR="00FF663E" w:rsidRDefault="00FF663E" w:rsidP="00B773B9">
            <w:pPr>
              <w:widowControl/>
              <w:wordWrap w:val="0"/>
              <w:autoSpaceDE w:val="0"/>
              <w:autoSpaceDN w:val="0"/>
              <w:adjustRightInd w:val="0"/>
              <w:spacing w:before="29" w:line="288" w:lineRule="auto"/>
              <w:ind w:left="15"/>
              <w:jc w:val="left"/>
              <w:rPr>
                <w:rFonts w:ascii="宋体" w:hAnsi="宋体" w:cs="宋体"/>
                <w:color w:val="000000"/>
                <w:kern w:val="0"/>
                <w:sz w:val="24"/>
                <w:szCs w:val="24"/>
              </w:rPr>
            </w:pPr>
            <w:r w:rsidRPr="00C21346">
              <w:rPr>
                <w:rFonts w:ascii="宋体" w:hAnsi="宋体" w:cs="宋体" w:hint="eastAsia"/>
                <w:kern w:val="0"/>
                <w:sz w:val="24"/>
                <w:szCs w:val="24"/>
              </w:rPr>
              <w:t>2022年0</w:t>
            </w:r>
            <w:r w:rsidR="00B773B9">
              <w:rPr>
                <w:rFonts w:ascii="宋体" w:hAnsi="宋体" w:cs="宋体" w:hint="eastAsia"/>
                <w:kern w:val="0"/>
                <w:sz w:val="24"/>
                <w:szCs w:val="24"/>
              </w:rPr>
              <w:t>3</w:t>
            </w:r>
            <w:r w:rsidRPr="00C21346">
              <w:rPr>
                <w:rFonts w:ascii="宋体" w:hAnsi="宋体" w:cs="宋体" w:hint="eastAsia"/>
                <w:kern w:val="0"/>
                <w:sz w:val="24"/>
                <w:szCs w:val="24"/>
              </w:rPr>
              <w:t>月</w:t>
            </w:r>
            <w:r w:rsidR="00B773B9">
              <w:rPr>
                <w:rFonts w:ascii="宋体" w:hAnsi="宋体" w:cs="宋体" w:hint="eastAsia"/>
                <w:kern w:val="0"/>
                <w:sz w:val="24"/>
                <w:szCs w:val="24"/>
              </w:rPr>
              <w:t>18</w:t>
            </w:r>
            <w:r w:rsidRPr="00C21346">
              <w:rPr>
                <w:rFonts w:ascii="宋体" w:hAnsi="宋体" w:cs="宋体" w:hint="eastAsia"/>
                <w:kern w:val="0"/>
                <w:sz w:val="24"/>
                <w:szCs w:val="24"/>
              </w:rPr>
              <w:t>日 - 2022年06月30日</w:t>
            </w:r>
          </w:p>
        </w:tc>
        <w:tc>
          <w:tcPr>
            <w:tcW w:w="2353" w:type="dxa"/>
            <w:tcBorders>
              <w:top w:val="single" w:sz="8" w:space="0" w:color="000000"/>
              <w:left w:val="single" w:sz="8" w:space="0" w:color="000000"/>
              <w:bottom w:val="single" w:sz="6" w:space="0" w:color="000000"/>
              <w:right w:val="single" w:sz="8" w:space="0" w:color="000000"/>
            </w:tcBorders>
            <w:vAlign w:val="center"/>
          </w:tcPr>
          <w:p w:rsidR="00FF663E" w:rsidRDefault="00FF663E" w:rsidP="00B773B9">
            <w:pPr>
              <w:widowControl/>
              <w:autoSpaceDE w:val="0"/>
              <w:autoSpaceDN w:val="0"/>
              <w:adjustRightInd w:val="0"/>
              <w:spacing w:before="29" w:line="288" w:lineRule="auto"/>
              <w:ind w:left="15"/>
              <w:jc w:val="right"/>
              <w:rPr>
                <w:rFonts w:ascii="宋体" w:hAnsi="宋体" w:cs="宋体"/>
                <w:color w:val="000000"/>
                <w:kern w:val="0"/>
                <w:sz w:val="24"/>
                <w:szCs w:val="24"/>
                <w:highlight w:val="yellow"/>
              </w:rPr>
            </w:pPr>
            <w:r>
              <w:rPr>
                <w:rFonts w:ascii="宋体" w:hAnsi="宋体" w:cs="宋体" w:hint="eastAsia"/>
                <w:color w:val="000000"/>
                <w:kern w:val="0"/>
                <w:sz w:val="24"/>
                <w:szCs w:val="24"/>
              </w:rPr>
              <w:t>3.</w:t>
            </w:r>
            <w:r w:rsidR="00B773B9">
              <w:rPr>
                <w:rFonts w:ascii="宋体" w:hAnsi="宋体" w:cs="宋体" w:hint="eastAsia"/>
                <w:color w:val="000000"/>
                <w:kern w:val="0"/>
                <w:sz w:val="24"/>
                <w:szCs w:val="24"/>
              </w:rPr>
              <w:t>86</w:t>
            </w:r>
            <w:r w:rsidRPr="000415F0">
              <w:rPr>
                <w:rFonts w:ascii="宋体" w:hAnsi="宋体" w:cs="宋体"/>
                <w:color w:val="000000"/>
                <w:kern w:val="0"/>
                <w:sz w:val="24"/>
                <w:szCs w:val="24"/>
              </w:rPr>
              <w:t>%</w:t>
            </w:r>
          </w:p>
        </w:tc>
      </w:tr>
    </w:tbl>
    <w:p w:rsidR="009E119A" w:rsidRDefault="009E119A">
      <w:pPr>
        <w:widowControl/>
        <w:jc w:val="left"/>
        <w:rPr>
          <w:rFonts w:ascii="宋体" w:hAnsi="宋体" w:cs="宋体"/>
          <w:color w:val="000000"/>
          <w:kern w:val="0"/>
          <w:sz w:val="24"/>
          <w:szCs w:val="24"/>
        </w:rPr>
      </w:pPr>
    </w:p>
    <w:p w:rsidR="009E119A" w:rsidRDefault="00981C34">
      <w:pPr>
        <w:pStyle w:val="dazhangjie"/>
        <w:rPr>
          <w:color w:val="000000"/>
        </w:rPr>
      </w:pPr>
      <w:r>
        <w:rPr>
          <w:rFonts w:hAnsi="Calibri" w:hint="eastAsia"/>
          <w:b/>
          <w:color w:val="000000"/>
        </w:rPr>
        <w:t>§3  管理人报告</w:t>
      </w:r>
    </w:p>
    <w:p w:rsidR="00D3494E" w:rsidRDefault="00D3494E" w:rsidP="00D3494E">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r>
        <w:rPr>
          <w:rFonts w:hint="eastAsia"/>
          <w:b/>
          <w:color w:val="000000"/>
        </w:rPr>
        <w:tab/>
      </w:r>
    </w:p>
    <w:p w:rsidR="00D3494E" w:rsidRPr="00890DF3" w:rsidRDefault="00D3494E" w:rsidP="00D3494E">
      <w:pPr>
        <w:spacing w:line="360" w:lineRule="auto"/>
        <w:ind w:firstLineChars="200" w:firstLine="480"/>
        <w:rPr>
          <w:rFonts w:ascii="宋体" w:hAnsi="宋体"/>
          <w:color w:val="000000"/>
          <w:kern w:val="0"/>
          <w:sz w:val="24"/>
          <w:szCs w:val="24"/>
        </w:rPr>
      </w:pPr>
      <w:bookmarkStart w:id="0" w:name="_Hlk108033715"/>
      <w:r w:rsidRPr="00890DF3">
        <w:rPr>
          <w:rFonts w:ascii="宋体" w:hAnsi="宋体" w:hint="eastAsia"/>
          <w:color w:val="000000"/>
          <w:kern w:val="0"/>
          <w:sz w:val="24"/>
          <w:szCs w:val="24"/>
        </w:rPr>
        <w:t>上半年债市在国内稳增长、新冠疫情、俄乌冲突、海外通胀与美联储加息等内外部</w:t>
      </w:r>
      <w:r w:rsidRPr="00890DF3">
        <w:rPr>
          <w:rFonts w:ascii="宋体" w:hAnsi="宋体" w:hint="eastAsia"/>
          <w:color w:val="000000"/>
          <w:kern w:val="0"/>
          <w:sz w:val="24"/>
          <w:szCs w:val="24"/>
        </w:rPr>
        <w:lastRenderedPageBreak/>
        <w:t>因素扰动下处于震荡走势，收益率曲线趋于陡峭。总体来看，今年上半年</w:t>
      </w:r>
      <w:r w:rsidRPr="00890DF3">
        <w:rPr>
          <w:rFonts w:ascii="宋体" w:hAnsi="宋体"/>
          <w:color w:val="000000"/>
          <w:kern w:val="0"/>
          <w:sz w:val="24"/>
          <w:szCs w:val="24"/>
        </w:rPr>
        <w:t>10</w:t>
      </w:r>
      <w:r w:rsidRPr="00890DF3">
        <w:rPr>
          <w:rFonts w:ascii="宋体" w:hAnsi="宋体" w:hint="eastAsia"/>
          <w:color w:val="000000"/>
          <w:kern w:val="0"/>
          <w:sz w:val="24"/>
          <w:szCs w:val="24"/>
        </w:rPr>
        <w:t>年期国债收益率上行</w:t>
      </w:r>
      <w:r w:rsidRPr="00890DF3">
        <w:rPr>
          <w:rFonts w:ascii="宋体" w:hAnsi="宋体"/>
          <w:color w:val="000000"/>
          <w:kern w:val="0"/>
          <w:sz w:val="24"/>
          <w:szCs w:val="24"/>
        </w:rPr>
        <w:t>4.5bp</w:t>
      </w:r>
      <w:r w:rsidRPr="00890DF3">
        <w:rPr>
          <w:rFonts w:ascii="宋体" w:hAnsi="宋体" w:hint="eastAsia"/>
          <w:color w:val="000000"/>
          <w:kern w:val="0"/>
          <w:sz w:val="24"/>
          <w:szCs w:val="24"/>
        </w:rPr>
        <w:t>至</w:t>
      </w:r>
      <w:r w:rsidRPr="00890DF3">
        <w:rPr>
          <w:rFonts w:ascii="宋体" w:hAnsi="宋体"/>
          <w:color w:val="000000"/>
          <w:kern w:val="0"/>
          <w:sz w:val="24"/>
          <w:szCs w:val="24"/>
        </w:rPr>
        <w:t>2.82%</w:t>
      </w:r>
      <w:r w:rsidRPr="00890DF3">
        <w:rPr>
          <w:rFonts w:ascii="宋体" w:hAnsi="宋体" w:hint="eastAsia"/>
          <w:color w:val="000000"/>
          <w:kern w:val="0"/>
          <w:sz w:val="24"/>
          <w:szCs w:val="24"/>
        </w:rPr>
        <w:t>，</w:t>
      </w:r>
      <w:r w:rsidRPr="00890DF3">
        <w:rPr>
          <w:rFonts w:ascii="宋体" w:hAnsi="宋体"/>
          <w:color w:val="000000"/>
          <w:kern w:val="0"/>
          <w:sz w:val="24"/>
          <w:szCs w:val="24"/>
        </w:rPr>
        <w:t>10</w:t>
      </w:r>
      <w:r w:rsidRPr="00890DF3">
        <w:rPr>
          <w:rFonts w:ascii="宋体" w:hAnsi="宋体" w:hint="eastAsia"/>
          <w:color w:val="000000"/>
          <w:kern w:val="0"/>
          <w:sz w:val="24"/>
          <w:szCs w:val="24"/>
        </w:rPr>
        <w:t>年期国开债收益率下行</w:t>
      </w:r>
      <w:r w:rsidRPr="00890DF3">
        <w:rPr>
          <w:rFonts w:ascii="宋体" w:hAnsi="宋体"/>
          <w:color w:val="000000"/>
          <w:kern w:val="0"/>
          <w:sz w:val="24"/>
          <w:szCs w:val="24"/>
        </w:rPr>
        <w:t>3.2bp</w:t>
      </w:r>
      <w:r w:rsidRPr="00890DF3">
        <w:rPr>
          <w:rFonts w:ascii="宋体" w:hAnsi="宋体" w:hint="eastAsia"/>
          <w:color w:val="000000"/>
          <w:kern w:val="0"/>
          <w:sz w:val="24"/>
          <w:szCs w:val="24"/>
        </w:rPr>
        <w:t>至</w:t>
      </w:r>
      <w:r w:rsidRPr="00890DF3">
        <w:rPr>
          <w:rFonts w:ascii="宋体" w:hAnsi="宋体"/>
          <w:color w:val="000000"/>
          <w:kern w:val="0"/>
          <w:sz w:val="24"/>
          <w:szCs w:val="24"/>
        </w:rPr>
        <w:t>3.05%</w:t>
      </w:r>
      <w:r w:rsidRPr="00890DF3">
        <w:rPr>
          <w:rFonts w:ascii="宋体" w:hAnsi="宋体" w:hint="eastAsia"/>
          <w:color w:val="000000"/>
          <w:kern w:val="0"/>
          <w:sz w:val="24"/>
          <w:szCs w:val="24"/>
        </w:rPr>
        <w:t>，中债新综合财富指数上涨</w:t>
      </w:r>
      <w:r w:rsidRPr="00890DF3">
        <w:rPr>
          <w:rFonts w:ascii="宋体" w:hAnsi="宋体"/>
          <w:color w:val="000000"/>
          <w:kern w:val="0"/>
          <w:sz w:val="24"/>
          <w:szCs w:val="24"/>
        </w:rPr>
        <w:t>1.85%</w:t>
      </w:r>
      <w:r w:rsidRPr="00890DF3">
        <w:rPr>
          <w:rFonts w:ascii="宋体" w:hAnsi="宋体" w:hint="eastAsia"/>
          <w:color w:val="000000"/>
          <w:kern w:val="0"/>
          <w:sz w:val="24"/>
          <w:szCs w:val="24"/>
        </w:rPr>
        <w:t>。</w:t>
      </w:r>
    </w:p>
    <w:p w:rsidR="00D3494E" w:rsidRPr="00890DF3" w:rsidRDefault="00D3494E" w:rsidP="00D3494E">
      <w:pPr>
        <w:spacing w:line="360" w:lineRule="auto"/>
        <w:ind w:firstLineChars="200" w:firstLine="480"/>
        <w:rPr>
          <w:rFonts w:ascii="宋体" w:hAnsi="宋体"/>
          <w:color w:val="000000"/>
          <w:kern w:val="0"/>
          <w:sz w:val="24"/>
          <w:szCs w:val="24"/>
        </w:rPr>
      </w:pPr>
      <w:r w:rsidRPr="00890DF3">
        <w:rPr>
          <w:rFonts w:ascii="宋体" w:hAnsi="宋体" w:hint="eastAsia"/>
          <w:color w:val="000000"/>
          <w:kern w:val="0"/>
          <w:sz w:val="24"/>
          <w:szCs w:val="24"/>
        </w:rPr>
        <w:t>随着疫情对经济活动影响逐渐退潮，国内经济开始修复，预计对下阶段债券市场造成一定负面影响，但影响程度或相对可控：首先，受制于需求不足以及新冠疫情带来的不确定性，本轮经济复苏的质量有待观察；第二，相对宽松的货币环境仍将支撑债券市场利率处于合理较低水平；第三，随着上半年地方政府债基本发行完毕，政府债供给预计将回落，供需格局获得改善；最后，随着金融市场上修海外加息预期，美联储收紧的负面影响减弱。整体来看，当前多空因素仍有博弈，对债市保持中性观点。</w:t>
      </w:r>
      <w:bookmarkEnd w:id="0"/>
    </w:p>
    <w:p w:rsidR="00D3494E" w:rsidRPr="00A10424" w:rsidRDefault="00D3494E" w:rsidP="00D3494E">
      <w:pPr>
        <w:spacing w:line="360" w:lineRule="auto"/>
        <w:ind w:firstLineChars="200" w:firstLine="480"/>
        <w:rPr>
          <w:rFonts w:ascii="宋体" w:hAnsi="宋体"/>
          <w:color w:val="000000"/>
          <w:kern w:val="0"/>
          <w:sz w:val="24"/>
          <w:szCs w:val="24"/>
        </w:rPr>
      </w:pPr>
      <w:r w:rsidRPr="00890DF3">
        <w:rPr>
          <w:rFonts w:ascii="宋体" w:hAnsi="宋体" w:hint="eastAsia"/>
          <w:color w:val="000000"/>
          <w:kern w:val="0"/>
          <w:sz w:val="24"/>
          <w:szCs w:val="24"/>
        </w:rPr>
        <w:t>产品通过稳健的资产配置，选择性价比较优的城投信用债及非标资产作为主要底仓，适当利用杠杆增厚收益。后续将在严格控制风险的基础上，精选票息资产，同时密切跟踪市场变化，在震荡调整中把握可能的波段交易机会。</w:t>
      </w:r>
    </w:p>
    <w:p w:rsidR="00D3494E" w:rsidRDefault="00D3494E" w:rsidP="00D3494E">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CD16E5" w:rsidRPr="00A10424" w:rsidRDefault="00D3494E" w:rsidP="00D3494E">
      <w:pPr>
        <w:spacing w:line="360" w:lineRule="auto"/>
        <w:ind w:firstLineChars="200" w:firstLine="480"/>
        <w:rPr>
          <w:rFonts w:ascii="宋体" w:hAnsi="宋体"/>
          <w:color w:val="000000"/>
          <w:kern w:val="0"/>
          <w:sz w:val="24"/>
          <w:szCs w:val="24"/>
        </w:rPr>
      </w:pPr>
      <w:r w:rsidRPr="00890DF3">
        <w:rPr>
          <w:rFonts w:ascii="宋体" w:hAnsi="宋体" w:hint="eastAsia"/>
          <w:color w:val="000000"/>
          <w:kern w:val="0"/>
          <w:sz w:val="24"/>
          <w:szCs w:val="24"/>
        </w:rPr>
        <w:t>今年以来市场资金面相对平稳，在市场关键时点，本系列产品提前做好流动性储备，保障流动性安全。下阶段，产品将继续维持稳健的投资风格，有效管理资产负债在流动性上的匹配程度，控制产品流动性风险。</w:t>
      </w:r>
    </w:p>
    <w:p w:rsidR="009E119A" w:rsidRDefault="00981C34">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61309D" w:rsidRDefault="00D3494E">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 xml:space="preserve"> </w:t>
      </w:r>
      <w:r w:rsidR="0061309D">
        <w:rPr>
          <w:rFonts w:ascii="宋体" w:hAnsi="宋体"/>
          <w:color w:val="000000"/>
          <w:kern w:val="0"/>
          <w:sz w:val="24"/>
          <w:szCs w:val="24"/>
        </w:rPr>
        <w:t>截至报告期末,本产品份额净值为1.0147元。</w:t>
      </w:r>
    </w:p>
    <w:p w:rsidR="000E4F41" w:rsidRDefault="000E4F41" w:rsidP="000E4F41">
      <w:pPr>
        <w:pStyle w:val="dazhangjie"/>
        <w:ind w:left="0"/>
        <w:jc w:val="both"/>
        <w:rPr>
          <w:rFonts w:hAnsi="Calibri"/>
          <w:b/>
          <w:color w:val="000000"/>
        </w:rPr>
      </w:pPr>
    </w:p>
    <w:p w:rsidR="000E4F41" w:rsidRDefault="000E4F41" w:rsidP="000E4F41">
      <w:pPr>
        <w:pStyle w:val="dazhangjie"/>
        <w:rPr>
          <w:rFonts w:hAnsi="Calibri"/>
          <w:b/>
          <w:color w:val="000000"/>
        </w:rPr>
      </w:pPr>
      <w:r>
        <w:rPr>
          <w:rFonts w:hAnsi="Calibri" w:hint="eastAsia"/>
          <w:b/>
          <w:color w:val="000000"/>
        </w:rPr>
        <w:t>§</w:t>
      </w:r>
      <w:r>
        <w:rPr>
          <w:rFonts w:hAnsi="Calibri"/>
          <w:b/>
          <w:color w:val="000000"/>
        </w:rPr>
        <w:t xml:space="preserve">4  </w:t>
      </w:r>
      <w:r>
        <w:rPr>
          <w:rFonts w:hAnsi="Calibri" w:hint="eastAsia"/>
          <w:b/>
          <w:color w:val="000000"/>
        </w:rPr>
        <w:t>托管人报告</w:t>
      </w:r>
    </w:p>
    <w:p w:rsidR="000E4F41" w:rsidRPr="003A4565" w:rsidRDefault="000E4F41" w:rsidP="000E4F41">
      <w:pPr>
        <w:pStyle w:val="a6"/>
        <w:rPr>
          <w:b/>
        </w:rPr>
      </w:pPr>
      <w:r w:rsidRPr="003A4565">
        <w:rPr>
          <w:b/>
        </w:rPr>
        <w:t>4.1</w:t>
      </w:r>
      <w:r w:rsidRPr="003A4565">
        <w:rPr>
          <w:rFonts w:hint="eastAsia"/>
          <w:b/>
        </w:rPr>
        <w:t>报告期内托管人遵规守信情况声明</w:t>
      </w:r>
    </w:p>
    <w:p w:rsidR="000E4F41" w:rsidRPr="00EC5BB5" w:rsidRDefault="000E4F41" w:rsidP="000E4F41">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在托管本产品的过程中，本产品托管人南京银行股份有限公司严格遵守《商业银行理财</w:t>
      </w:r>
      <w:r w:rsidRPr="003A4565">
        <w:rPr>
          <w:rFonts w:ascii="宋体" w:hAnsi="宋体" w:hint="eastAsia"/>
          <w:color w:val="000000"/>
          <w:kern w:val="0"/>
          <w:sz w:val="24"/>
          <w:szCs w:val="24"/>
        </w:rPr>
        <w:t>子公司</w:t>
      </w:r>
      <w:r w:rsidRPr="003A4565">
        <w:rPr>
          <w:rFonts w:ascii="宋体" w:hAnsi="宋体"/>
          <w:color w:val="000000"/>
          <w:kern w:val="0"/>
          <w:sz w:val="24"/>
          <w:szCs w:val="24"/>
        </w:rPr>
        <w:t>管理办法》相关法律法规的规定以及产品说明书的约定，对本产品管理人—</w:t>
      </w:r>
      <w:r w:rsidRPr="003A4565">
        <w:rPr>
          <w:rFonts w:ascii="宋体" w:hAnsi="宋体" w:hint="eastAsia"/>
          <w:color w:val="000000"/>
          <w:kern w:val="0"/>
          <w:sz w:val="24"/>
          <w:szCs w:val="24"/>
        </w:rPr>
        <w:t>南银理财有限责任公司在报告期内</w:t>
      </w:r>
      <w:r w:rsidRPr="003A4565">
        <w:rPr>
          <w:rFonts w:ascii="宋体" w:hAnsi="宋体"/>
          <w:color w:val="000000"/>
          <w:kern w:val="0"/>
          <w:sz w:val="24"/>
          <w:szCs w:val="24"/>
        </w:rPr>
        <w:t>产品的投资运作进行了认真、独立的会计核算和必要的投资监督，认真履行了托管人的义务，没有从事任何损害产品份额持有人利益的行为。</w:t>
      </w:r>
      <w:r>
        <w:rPr>
          <w:rFonts w:ascii="宋体" w:hAnsi="宋体" w:hint="eastAsia"/>
          <w:color w:val="000000"/>
          <w:kern w:val="0"/>
          <w:sz w:val="24"/>
          <w:szCs w:val="24"/>
        </w:rPr>
        <w:t xml:space="preserve"> </w:t>
      </w:r>
    </w:p>
    <w:p w:rsidR="000E4F41" w:rsidRPr="003A4565" w:rsidRDefault="000E4F41" w:rsidP="000E4F41">
      <w:pPr>
        <w:pStyle w:val="a6"/>
        <w:rPr>
          <w:b/>
        </w:rPr>
      </w:pPr>
      <w:r w:rsidRPr="003A4565">
        <w:rPr>
          <w:b/>
        </w:rPr>
        <w:t xml:space="preserve">4.2 </w:t>
      </w:r>
      <w:r w:rsidRPr="003A4565">
        <w:rPr>
          <w:rFonts w:hint="eastAsia"/>
          <w:b/>
        </w:rPr>
        <w:t>托管人对报告期内投资运作遵规守信、净值计算、利润分配等情况的说明</w:t>
      </w:r>
    </w:p>
    <w:p w:rsidR="000E4F41" w:rsidRPr="003A4565" w:rsidRDefault="000E4F41" w:rsidP="000E4F41">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本托管人认为</w:t>
      </w:r>
      <w:r w:rsidR="006E4252" w:rsidRPr="003A4565">
        <w:rPr>
          <w:rFonts w:ascii="宋体" w:hAnsi="宋体"/>
          <w:color w:val="000000"/>
          <w:kern w:val="0"/>
          <w:sz w:val="24"/>
          <w:szCs w:val="24"/>
        </w:rPr>
        <w:t>，</w:t>
      </w:r>
      <w:r w:rsidRPr="003A4565">
        <w:rPr>
          <w:rFonts w:ascii="宋体" w:hAnsi="宋体" w:hint="eastAsia"/>
          <w:color w:val="000000"/>
          <w:kern w:val="0"/>
          <w:sz w:val="24"/>
          <w:szCs w:val="24"/>
        </w:rPr>
        <w:t>南银理财有限责任公司</w:t>
      </w:r>
      <w:r w:rsidRPr="003A4565">
        <w:rPr>
          <w:rFonts w:ascii="宋体" w:hAnsi="宋体"/>
          <w:color w:val="000000"/>
          <w:kern w:val="0"/>
          <w:sz w:val="24"/>
          <w:szCs w:val="24"/>
        </w:rPr>
        <w:t>在本产品的投资运作、产品资产净值的计算、</w:t>
      </w:r>
      <w:r w:rsidRPr="003A4565">
        <w:rPr>
          <w:rFonts w:ascii="宋体" w:hAnsi="宋体"/>
          <w:color w:val="000000"/>
          <w:kern w:val="0"/>
          <w:sz w:val="24"/>
          <w:szCs w:val="24"/>
        </w:rPr>
        <w:lastRenderedPageBreak/>
        <w:t>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0E4F41" w:rsidRDefault="000E4F41" w:rsidP="000E4F41">
      <w:pPr>
        <w:pStyle w:val="a6"/>
        <w:rPr>
          <w:b/>
          <w:color w:val="000000"/>
        </w:rPr>
      </w:pPr>
      <w:r>
        <w:rPr>
          <w:b/>
          <w:color w:val="000000"/>
        </w:rPr>
        <w:t xml:space="preserve">4.3 </w:t>
      </w:r>
      <w:r>
        <w:rPr>
          <w:rFonts w:hint="eastAsia"/>
          <w:b/>
          <w:color w:val="000000"/>
        </w:rPr>
        <w:t>托管人对本</w:t>
      </w:r>
      <w:r w:rsidR="00944DBE">
        <w:rPr>
          <w:rFonts w:hint="eastAsia"/>
          <w:b/>
          <w:color w:val="000000"/>
        </w:rPr>
        <w:t>半</w:t>
      </w:r>
      <w:r>
        <w:rPr>
          <w:rFonts w:hint="eastAsia"/>
          <w:b/>
          <w:color w:val="000000"/>
        </w:rPr>
        <w:t>年度报告中财务信息等内容的真实、准确和完整发表意见</w:t>
      </w:r>
    </w:p>
    <w:p w:rsidR="009E119A" w:rsidRPr="000E4F41" w:rsidRDefault="000E4F41" w:rsidP="000E4F41">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本托管人认为，</w:t>
      </w:r>
      <w:r w:rsidRPr="003A4565">
        <w:rPr>
          <w:rFonts w:ascii="宋体" w:hAnsi="宋体" w:hint="eastAsia"/>
          <w:color w:val="000000"/>
          <w:kern w:val="0"/>
          <w:sz w:val="24"/>
          <w:szCs w:val="24"/>
        </w:rPr>
        <w:t>南银理财有限责任公司</w:t>
      </w:r>
      <w:r w:rsidRPr="003A4565">
        <w:rPr>
          <w:rFonts w:ascii="宋体" w:hAnsi="宋体"/>
          <w:color w:val="000000"/>
          <w:kern w:val="0"/>
          <w:sz w:val="24"/>
          <w:szCs w:val="24"/>
        </w:rPr>
        <w:t>的信息披露事务符合《商业银行理财</w:t>
      </w:r>
      <w:r w:rsidRPr="003A4565">
        <w:rPr>
          <w:rFonts w:ascii="宋体" w:hAnsi="宋体" w:hint="eastAsia"/>
          <w:color w:val="000000"/>
          <w:kern w:val="0"/>
          <w:sz w:val="24"/>
          <w:szCs w:val="24"/>
        </w:rPr>
        <w:t>子公司</w:t>
      </w:r>
      <w:r w:rsidRPr="003A4565">
        <w:rPr>
          <w:rFonts w:ascii="宋体" w:hAnsi="宋体"/>
          <w:color w:val="000000"/>
          <w:kern w:val="0"/>
          <w:sz w:val="24"/>
          <w:szCs w:val="24"/>
        </w:rPr>
        <w:t>管理办法》及其他相关法律法规的规定，产品管理人所编制和披露的本产品</w:t>
      </w:r>
      <w:r w:rsidRPr="003A4565">
        <w:rPr>
          <w:rFonts w:ascii="宋体" w:hAnsi="宋体" w:hint="eastAsia"/>
          <w:color w:val="000000"/>
          <w:kern w:val="0"/>
          <w:sz w:val="24"/>
          <w:szCs w:val="24"/>
        </w:rPr>
        <w:t>半</w:t>
      </w:r>
      <w:r w:rsidRPr="003A4565">
        <w:rPr>
          <w:rFonts w:ascii="宋体" w:hAnsi="宋体"/>
          <w:color w:val="000000"/>
          <w:kern w:val="0"/>
          <w:sz w:val="24"/>
          <w:szCs w:val="24"/>
        </w:rPr>
        <w:t>年度报告中的财务指标、净值表现等信息真实、准确、完整，未发现有损害产品持有人利益的行为。</w:t>
      </w:r>
    </w:p>
    <w:p w:rsidR="009E119A" w:rsidRDefault="00981C34">
      <w:pPr>
        <w:pStyle w:val="dazhangjie"/>
        <w:rPr>
          <w:color w:val="000000"/>
        </w:rPr>
      </w:pPr>
      <w:r>
        <w:rPr>
          <w:rFonts w:hAnsi="Calibri" w:hint="eastAsia"/>
          <w:b/>
          <w:color w:val="000000"/>
        </w:rPr>
        <w:t>§</w:t>
      </w:r>
      <w:r w:rsidR="000E4F41">
        <w:rPr>
          <w:rFonts w:hAnsi="Calibri" w:hint="eastAsia"/>
          <w:b/>
          <w:color w:val="000000"/>
        </w:rPr>
        <w:t>5</w:t>
      </w:r>
      <w:r>
        <w:rPr>
          <w:rFonts w:hAnsi="Calibri" w:hint="eastAsia"/>
          <w:b/>
          <w:color w:val="000000"/>
        </w:rPr>
        <w:t xml:space="preserve">  投资组合报告</w:t>
      </w:r>
    </w:p>
    <w:p w:rsidR="009E119A" w:rsidRDefault="000E4F41">
      <w:pPr>
        <w:pStyle w:val="zhangjiep"/>
        <w:ind w:left="0"/>
      </w:pPr>
      <w:r>
        <w:rPr>
          <w:rFonts w:hint="eastAsia"/>
          <w:b/>
          <w:bCs/>
        </w:rPr>
        <w:t>5</w:t>
      </w:r>
      <w:r w:rsidR="00981C34">
        <w:rPr>
          <w:rFonts w:hint="eastAsia"/>
          <w:b/>
          <w:bCs/>
        </w:rPr>
        <w:t>.1 报告期末产品资产组合情况</w:t>
      </w:r>
    </w:p>
    <w:tbl>
      <w:tblPr>
        <w:tblW w:w="0" w:type="auto"/>
        <w:tblInd w:w="108" w:type="dxa"/>
        <w:tblLayout w:type="fixed"/>
        <w:tblLook w:val="04A0"/>
      </w:tblPr>
      <w:tblGrid>
        <w:gridCol w:w="891"/>
        <w:gridCol w:w="3078"/>
        <w:gridCol w:w="2567"/>
        <w:gridCol w:w="2395"/>
      </w:tblGrid>
      <w:tr w:rsidR="009E119A">
        <w:tc>
          <w:tcPr>
            <w:tcW w:w="891" w:type="dxa"/>
            <w:tcBorders>
              <w:top w:val="single" w:sz="8" w:space="0" w:color="000000"/>
              <w:left w:val="single" w:sz="8" w:space="0" w:color="000000"/>
              <w:bottom w:val="single" w:sz="8" w:space="0" w:color="000000"/>
              <w:right w:val="single" w:sz="8" w:space="0" w:color="000000"/>
            </w:tcBorders>
            <w:noWrap/>
            <w:vAlign w:val="bottom"/>
          </w:tcPr>
          <w:p w:rsidR="009E119A" w:rsidRDefault="00981C34">
            <w:pPr>
              <w:pStyle w:val="biaogecenter"/>
              <w:rPr>
                <w:color w:val="000000"/>
              </w:rPr>
            </w:pPr>
            <w:r>
              <w:rPr>
                <w:rFonts w:hint="eastAsia"/>
                <w:color w:val="000000"/>
              </w:rPr>
              <w:t>序号</w:t>
            </w:r>
          </w:p>
        </w:tc>
        <w:tc>
          <w:tcPr>
            <w:tcW w:w="3078" w:type="dxa"/>
            <w:tcBorders>
              <w:top w:val="single" w:sz="8" w:space="0" w:color="000000"/>
              <w:left w:val="single" w:sz="8" w:space="0" w:color="000000"/>
              <w:bottom w:val="single" w:sz="8" w:space="0" w:color="000000"/>
              <w:right w:val="single" w:sz="8" w:space="0" w:color="000000"/>
            </w:tcBorders>
            <w:noWrap/>
            <w:vAlign w:val="bottom"/>
          </w:tcPr>
          <w:p w:rsidR="009E119A" w:rsidRDefault="00981C34">
            <w:pPr>
              <w:pStyle w:val="biaogecenter"/>
              <w:rPr>
                <w:color w:val="000000"/>
              </w:rPr>
            </w:pPr>
            <w:r>
              <w:rPr>
                <w:rFonts w:hint="eastAsia"/>
                <w:color w:val="000000"/>
              </w:rPr>
              <w:t>资产类别</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9E119A" w:rsidRDefault="00981C34">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9E119A" w:rsidRDefault="00981C34">
            <w:pPr>
              <w:pStyle w:val="biaogecenter"/>
              <w:rPr>
                <w:color w:val="000000"/>
              </w:rPr>
            </w:pPr>
            <w:r>
              <w:rPr>
                <w:rFonts w:hint="eastAsia"/>
                <w:color w:val="000000"/>
              </w:rPr>
              <w:t>穿透后占总资产比例</w:t>
            </w:r>
          </w:p>
        </w:tc>
      </w:tr>
      <w:tr w:rsidR="00CA74D8">
        <w:tc>
          <w:tcPr>
            <w:tcW w:w="891" w:type="dxa"/>
            <w:tcBorders>
              <w:top w:val="single" w:sz="8" w:space="0" w:color="000000"/>
              <w:left w:val="single" w:sz="8" w:space="0" w:color="000000"/>
              <w:bottom w:val="single" w:sz="8" w:space="0" w:color="000000"/>
              <w:right w:val="single" w:sz="8" w:space="0" w:color="000000"/>
            </w:tcBorders>
            <w:noWrap/>
            <w:vAlign w:val="bottom"/>
          </w:tcPr>
          <w:p w:rsidR="00CA74D8" w:rsidRDefault="00CA74D8">
            <w:pPr>
              <w:pStyle w:val="biaogecenter"/>
              <w:rPr>
                <w:color w:val="000000"/>
              </w:rPr>
            </w:pPr>
            <w:r>
              <w:rPr>
                <w:rFonts w:hint="eastAsia"/>
                <w:color w:val="000000"/>
              </w:rPr>
              <w:t>1</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CA74D8" w:rsidRPr="00191403" w:rsidRDefault="00CA74D8" w:rsidP="000F26CE">
            <w:pPr>
              <w:pStyle w:val="biaogecenter"/>
              <w:rPr>
                <w:color w:val="000000"/>
              </w:rPr>
            </w:pPr>
            <w:r w:rsidRPr="00191403">
              <w:rPr>
                <w:rFonts w:hint="eastAsia"/>
                <w:color w:val="000000"/>
              </w:rPr>
              <w:t>固定收益类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CA74D8" w:rsidRPr="00191403" w:rsidRDefault="00CA74D8" w:rsidP="000F26CE">
            <w:pPr>
              <w:pStyle w:val="biaogecenter"/>
              <w:rPr>
                <w:color w:val="000000"/>
              </w:rPr>
            </w:pPr>
            <w:r w:rsidRPr="00191403">
              <w:rPr>
                <w:rFonts w:hint="eastAsia"/>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CA74D8" w:rsidRPr="00191403" w:rsidRDefault="00CA74D8" w:rsidP="000F26CE">
            <w:pPr>
              <w:pStyle w:val="biaogecenter"/>
              <w:rPr>
                <w:color w:val="000000"/>
              </w:rPr>
            </w:pPr>
            <w:r w:rsidRPr="00191403">
              <w:rPr>
                <w:rFonts w:hint="eastAsia"/>
                <w:color w:val="000000"/>
              </w:rPr>
              <w:t>100.00%</w:t>
            </w:r>
          </w:p>
        </w:tc>
      </w:tr>
      <w:tr w:rsidR="00CA74D8">
        <w:tc>
          <w:tcPr>
            <w:tcW w:w="891" w:type="dxa"/>
            <w:tcBorders>
              <w:top w:val="single" w:sz="8" w:space="0" w:color="000000"/>
              <w:left w:val="single" w:sz="8" w:space="0" w:color="000000"/>
              <w:bottom w:val="single" w:sz="8" w:space="0" w:color="000000"/>
              <w:right w:val="single" w:sz="8" w:space="0" w:color="000000"/>
            </w:tcBorders>
            <w:noWrap/>
            <w:vAlign w:val="bottom"/>
          </w:tcPr>
          <w:p w:rsidR="00CA74D8" w:rsidRDefault="00CA74D8">
            <w:pPr>
              <w:pStyle w:val="biaogecenter"/>
              <w:rPr>
                <w:color w:val="000000"/>
              </w:rPr>
            </w:pPr>
            <w:r>
              <w:rPr>
                <w:rFonts w:hint="eastAsia"/>
                <w:color w:val="000000"/>
              </w:rPr>
              <w:t>2</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CA74D8" w:rsidRPr="00191403" w:rsidRDefault="00CA74D8" w:rsidP="000F26CE">
            <w:pPr>
              <w:pStyle w:val="biaogecenter"/>
              <w:rPr>
                <w:color w:val="000000"/>
              </w:rPr>
            </w:pPr>
            <w:r w:rsidRPr="00191403">
              <w:rPr>
                <w:rFonts w:hint="eastAsia"/>
                <w:color w:val="000000"/>
              </w:rPr>
              <w:t>权益类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CA74D8" w:rsidRPr="00191403" w:rsidRDefault="00CA74D8" w:rsidP="000F26CE">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CA74D8" w:rsidRPr="00191403" w:rsidRDefault="00CA74D8" w:rsidP="000F26CE">
            <w:pPr>
              <w:pStyle w:val="biaogecenter"/>
              <w:rPr>
                <w:color w:val="000000"/>
              </w:rPr>
            </w:pPr>
            <w:r w:rsidRPr="00191403">
              <w:rPr>
                <w:rFonts w:hint="eastAsia"/>
                <w:color w:val="000000"/>
              </w:rPr>
              <w:t>0.00%</w:t>
            </w:r>
          </w:p>
        </w:tc>
      </w:tr>
      <w:tr w:rsidR="00CA74D8">
        <w:tc>
          <w:tcPr>
            <w:tcW w:w="891" w:type="dxa"/>
            <w:tcBorders>
              <w:top w:val="single" w:sz="8" w:space="0" w:color="000000"/>
              <w:left w:val="single" w:sz="8" w:space="0" w:color="000000"/>
              <w:bottom w:val="single" w:sz="8" w:space="0" w:color="000000"/>
              <w:right w:val="single" w:sz="8" w:space="0" w:color="000000"/>
            </w:tcBorders>
            <w:noWrap/>
            <w:vAlign w:val="bottom"/>
          </w:tcPr>
          <w:p w:rsidR="00CA74D8" w:rsidRDefault="00CA74D8">
            <w:pPr>
              <w:pStyle w:val="biaogecenter"/>
              <w:rPr>
                <w:color w:val="000000"/>
              </w:rPr>
            </w:pPr>
            <w:r>
              <w:rPr>
                <w:rFonts w:hint="eastAsia"/>
                <w:color w:val="000000"/>
              </w:rPr>
              <w:t>3</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CA74D8" w:rsidRPr="00191403" w:rsidRDefault="00CA74D8" w:rsidP="000F26CE">
            <w:pPr>
              <w:pStyle w:val="biaogecenter"/>
              <w:rPr>
                <w:color w:val="000000"/>
              </w:rPr>
            </w:pPr>
            <w:r w:rsidRPr="00191403">
              <w:rPr>
                <w:rFonts w:hint="eastAsia"/>
                <w:color w:val="000000"/>
              </w:rPr>
              <w:t>商品及金融衍生品类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CA74D8" w:rsidRPr="00191403" w:rsidRDefault="00CA74D8" w:rsidP="000F26CE">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CA74D8" w:rsidRPr="00191403" w:rsidRDefault="00CA74D8" w:rsidP="000F26CE">
            <w:pPr>
              <w:pStyle w:val="biaogecenter"/>
              <w:rPr>
                <w:color w:val="000000"/>
              </w:rPr>
            </w:pPr>
            <w:r w:rsidRPr="00191403">
              <w:rPr>
                <w:rFonts w:hint="eastAsia"/>
                <w:color w:val="000000"/>
              </w:rPr>
              <w:t>0.00%</w:t>
            </w:r>
          </w:p>
        </w:tc>
      </w:tr>
      <w:tr w:rsidR="00CA74D8">
        <w:tc>
          <w:tcPr>
            <w:tcW w:w="891" w:type="dxa"/>
            <w:tcBorders>
              <w:top w:val="single" w:sz="8" w:space="0" w:color="000000"/>
              <w:left w:val="single" w:sz="8" w:space="0" w:color="000000"/>
              <w:bottom w:val="single" w:sz="8" w:space="0" w:color="000000"/>
              <w:right w:val="single" w:sz="8" w:space="0" w:color="000000"/>
            </w:tcBorders>
            <w:noWrap/>
            <w:vAlign w:val="bottom"/>
          </w:tcPr>
          <w:p w:rsidR="00CA74D8" w:rsidRDefault="00CA74D8">
            <w:pPr>
              <w:pStyle w:val="biaogecenter"/>
              <w:rPr>
                <w:color w:val="000000"/>
              </w:rPr>
            </w:pPr>
            <w:r>
              <w:rPr>
                <w:rFonts w:hint="eastAsia"/>
                <w:color w:val="000000"/>
              </w:rPr>
              <w:t>4</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CA74D8" w:rsidRPr="00191403" w:rsidRDefault="00CA74D8" w:rsidP="000F26CE">
            <w:pPr>
              <w:pStyle w:val="biaogecenter"/>
              <w:rPr>
                <w:color w:val="000000"/>
              </w:rPr>
            </w:pPr>
            <w:r w:rsidRPr="00191403">
              <w:rPr>
                <w:rFonts w:hint="eastAsia"/>
                <w:color w:val="000000"/>
              </w:rPr>
              <w:t>混合类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CA74D8" w:rsidRPr="00191403" w:rsidRDefault="00CA74D8" w:rsidP="000F26CE">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CA74D8" w:rsidRPr="00191403" w:rsidRDefault="00CA74D8" w:rsidP="000F26CE">
            <w:pPr>
              <w:pStyle w:val="biaogecenter"/>
              <w:rPr>
                <w:color w:val="000000"/>
              </w:rPr>
            </w:pPr>
            <w:r w:rsidRPr="00191403">
              <w:rPr>
                <w:rFonts w:hint="eastAsia"/>
                <w:color w:val="000000"/>
              </w:rPr>
              <w:t>0.00%</w:t>
            </w:r>
          </w:p>
        </w:tc>
      </w:tr>
      <w:tr w:rsidR="00CA74D8">
        <w:tc>
          <w:tcPr>
            <w:tcW w:w="891" w:type="dxa"/>
            <w:tcBorders>
              <w:top w:val="single" w:sz="8" w:space="0" w:color="000000"/>
              <w:left w:val="single" w:sz="8" w:space="0" w:color="000000"/>
              <w:bottom w:val="single" w:sz="8" w:space="0" w:color="000000"/>
              <w:right w:val="single" w:sz="8" w:space="0" w:color="000000"/>
            </w:tcBorders>
            <w:noWrap/>
            <w:vAlign w:val="bottom"/>
          </w:tcPr>
          <w:p w:rsidR="00CA74D8" w:rsidRDefault="00CA74D8">
            <w:pPr>
              <w:pStyle w:val="biaogecenter"/>
              <w:rPr>
                <w:color w:val="000000"/>
              </w:rPr>
            </w:pPr>
            <w:r>
              <w:rPr>
                <w:rFonts w:hint="eastAsia"/>
                <w:color w:val="000000"/>
              </w:rPr>
              <w:t>5</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CA74D8" w:rsidRPr="00191403" w:rsidRDefault="00CA74D8" w:rsidP="000F26CE">
            <w:pPr>
              <w:pStyle w:val="biaogecenter"/>
              <w:rPr>
                <w:color w:val="000000"/>
              </w:rPr>
            </w:pPr>
            <w:r w:rsidRPr="00191403">
              <w:rPr>
                <w:rFonts w:hint="eastAsia"/>
                <w:color w:val="000000"/>
              </w:rPr>
              <w:t>合计</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CA74D8" w:rsidRPr="00191403" w:rsidRDefault="00CA74D8" w:rsidP="000F26CE">
            <w:pPr>
              <w:pStyle w:val="biaogecenter"/>
              <w:rPr>
                <w:color w:val="000000"/>
              </w:rPr>
            </w:pPr>
            <w:r w:rsidRPr="00191403">
              <w:rPr>
                <w:rFonts w:hint="eastAsia"/>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CA74D8" w:rsidRPr="00191403" w:rsidRDefault="00CA74D8" w:rsidP="000F26CE">
            <w:pPr>
              <w:pStyle w:val="biaogecenter"/>
              <w:rPr>
                <w:color w:val="000000"/>
              </w:rPr>
            </w:pPr>
            <w:r w:rsidRPr="00191403">
              <w:rPr>
                <w:rFonts w:hint="eastAsia"/>
                <w:color w:val="000000"/>
              </w:rPr>
              <w:t>100.00%</w:t>
            </w:r>
          </w:p>
        </w:tc>
      </w:tr>
    </w:tbl>
    <w:p w:rsidR="009E119A" w:rsidRDefault="009E119A">
      <w:pPr>
        <w:widowControl/>
        <w:jc w:val="left"/>
        <w:rPr>
          <w:rFonts w:ascii="宋体" w:hAnsi="宋体" w:cs="宋体"/>
          <w:color w:val="000000"/>
          <w:kern w:val="0"/>
          <w:sz w:val="24"/>
          <w:szCs w:val="24"/>
        </w:rPr>
      </w:pPr>
      <w:bookmarkStart w:id="1" w:name="_GoBack"/>
      <w:bookmarkEnd w:id="1"/>
    </w:p>
    <w:p w:rsidR="009E119A" w:rsidRDefault="000E4F41">
      <w:pPr>
        <w:pStyle w:val="zhangjiep"/>
        <w:rPr>
          <w:b/>
          <w:bCs/>
          <w:color w:val="000000"/>
        </w:rPr>
      </w:pPr>
      <w:r>
        <w:rPr>
          <w:rFonts w:hint="eastAsia"/>
          <w:b/>
          <w:bCs/>
          <w:color w:val="000000"/>
        </w:rPr>
        <w:t>5</w:t>
      </w:r>
      <w:r w:rsidR="00981C34">
        <w:rPr>
          <w:rFonts w:hint="eastAsia"/>
          <w:b/>
          <w:bCs/>
          <w:color w:val="000000"/>
        </w:rPr>
        <w:t>.2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9E119A">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9E119A" w:rsidRDefault="00981C34">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9E119A" w:rsidRDefault="00981C34">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9E119A" w:rsidRDefault="00981C34">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9E119A" w:rsidRDefault="00981C34">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9E119A" w:rsidRDefault="00981C34">
            <w:pPr>
              <w:pStyle w:val="biaogecenter"/>
              <w:wordWrap w:val="0"/>
              <w:rPr>
                <w:color w:val="000000"/>
              </w:rPr>
            </w:pPr>
            <w:r>
              <w:rPr>
                <w:rFonts w:hint="eastAsia"/>
                <w:color w:val="000000"/>
              </w:rPr>
              <w:t>占产品资产净值比例（％）</w:t>
            </w:r>
          </w:p>
        </w:tc>
      </w:tr>
      <w:tr w:rsidR="00EE6F8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E6F8D" w:rsidRDefault="00EE6F8D">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E6F8D" w:rsidRPr="00EE6F8D" w:rsidRDefault="00EE6F8D" w:rsidP="00EE6F8D">
            <w:pPr>
              <w:pStyle w:val="biaogecenter"/>
              <w:wordWrap w:val="0"/>
              <w:rPr>
                <w:color w:val="000000"/>
              </w:rPr>
            </w:pPr>
            <w:r w:rsidRPr="00EE6F8D">
              <w:rPr>
                <w:rFonts w:hint="eastAsia"/>
                <w:color w:val="000000"/>
              </w:rPr>
              <w:t>22088308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22绍兴袍江02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300,377,801.76</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22.37</w:t>
            </w:r>
          </w:p>
        </w:tc>
      </w:tr>
      <w:tr w:rsidR="00EE6F8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E6F8D" w:rsidRDefault="00EE6F8D">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E6F8D" w:rsidRPr="00EE6F8D" w:rsidRDefault="00EE6F8D" w:rsidP="00EE6F8D">
            <w:pPr>
              <w:pStyle w:val="biaogecenter"/>
              <w:wordWrap w:val="0"/>
              <w:rPr>
                <w:color w:val="000000"/>
              </w:rPr>
            </w:pPr>
            <w:r w:rsidRPr="00EE6F8D">
              <w:rPr>
                <w:rFonts w:hint="eastAsia"/>
                <w:color w:val="000000"/>
              </w:rPr>
              <w:t>22088356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22扬州盛裕01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220,371,432.93</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16.41</w:t>
            </w:r>
          </w:p>
        </w:tc>
      </w:tr>
      <w:tr w:rsidR="00EE6F8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E6F8D" w:rsidRDefault="00EE6F8D">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E6F8D" w:rsidRPr="00EE6F8D" w:rsidRDefault="00EE6F8D" w:rsidP="00EE6F8D">
            <w:pPr>
              <w:pStyle w:val="biaogecenter"/>
              <w:wordWrap w:val="0"/>
              <w:rPr>
                <w:color w:val="000000"/>
              </w:rPr>
            </w:pPr>
            <w:r w:rsidRPr="00EE6F8D">
              <w:rPr>
                <w:rFonts w:hint="eastAsia"/>
                <w:color w:val="000000"/>
              </w:rPr>
              <w:t>032000668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20建德国资PPN001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51,163,250.00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3.81</w:t>
            </w:r>
          </w:p>
        </w:tc>
      </w:tr>
      <w:tr w:rsidR="00EE6F8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E6F8D" w:rsidRDefault="00EE6F8D">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E6F8D" w:rsidRPr="00EE6F8D" w:rsidRDefault="00EE6F8D" w:rsidP="00EE6F8D">
            <w:pPr>
              <w:pStyle w:val="biaogecenter"/>
              <w:wordWrap w:val="0"/>
              <w:rPr>
                <w:color w:val="000000"/>
              </w:rPr>
            </w:pPr>
            <w:r w:rsidRPr="00EE6F8D">
              <w:rPr>
                <w:rFonts w:hint="eastAsia"/>
                <w:color w:val="000000"/>
              </w:rPr>
              <w:t>102000313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20钟楼经开MTN001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50,798,800.00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3.78</w:t>
            </w:r>
          </w:p>
        </w:tc>
      </w:tr>
      <w:tr w:rsidR="00EE6F8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E6F8D" w:rsidRDefault="00EE6F8D">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E6F8D" w:rsidRPr="00EE6F8D" w:rsidRDefault="00EE6F8D" w:rsidP="00EE6F8D">
            <w:pPr>
              <w:pStyle w:val="biaogecenter"/>
              <w:wordWrap w:val="0"/>
              <w:rPr>
                <w:color w:val="000000"/>
              </w:rPr>
            </w:pPr>
            <w:r w:rsidRPr="00EE6F8D">
              <w:rPr>
                <w:rFonts w:hint="eastAsia"/>
                <w:color w:val="000000"/>
              </w:rPr>
              <w:t>032000122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20江宁交通PPN002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50,542,450.00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3.76</w:t>
            </w:r>
          </w:p>
        </w:tc>
      </w:tr>
      <w:tr w:rsidR="00EE6F8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E6F8D" w:rsidRDefault="00EE6F8D">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E6F8D" w:rsidRPr="00EE6F8D" w:rsidRDefault="00EE6F8D" w:rsidP="00EE6F8D">
            <w:pPr>
              <w:pStyle w:val="biaogecenter"/>
              <w:wordWrap w:val="0"/>
              <w:rPr>
                <w:color w:val="000000"/>
              </w:rPr>
            </w:pPr>
            <w:r w:rsidRPr="00EE6F8D">
              <w:rPr>
                <w:rFonts w:hint="eastAsia"/>
                <w:color w:val="000000"/>
              </w:rPr>
              <w:t>032000162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20柯桥经开PPN001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50,523,150.00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3.76</w:t>
            </w:r>
          </w:p>
        </w:tc>
      </w:tr>
      <w:tr w:rsidR="00EE6F8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E6F8D" w:rsidRDefault="00EE6F8D">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E6F8D" w:rsidRPr="00EE6F8D" w:rsidRDefault="00EE6F8D" w:rsidP="00EE6F8D">
            <w:pPr>
              <w:pStyle w:val="biaogecenter"/>
              <w:wordWrap w:val="0"/>
              <w:rPr>
                <w:color w:val="000000"/>
              </w:rPr>
            </w:pPr>
            <w:r w:rsidRPr="00EE6F8D">
              <w:rPr>
                <w:rFonts w:hint="eastAsia"/>
                <w:color w:val="000000"/>
              </w:rPr>
              <w:t>102000217</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20淮安高新MTN001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50,066,100.00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3.73</w:t>
            </w:r>
          </w:p>
        </w:tc>
      </w:tr>
      <w:tr w:rsidR="00EE6F8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E6F8D" w:rsidRDefault="00EE6F8D">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E6F8D" w:rsidRPr="00EE6F8D" w:rsidRDefault="00EE6F8D" w:rsidP="00EE6F8D">
            <w:pPr>
              <w:pStyle w:val="biaogecenter"/>
              <w:wordWrap w:val="0"/>
              <w:rPr>
                <w:color w:val="000000"/>
              </w:rPr>
            </w:pPr>
            <w:r w:rsidRPr="00EE6F8D">
              <w:rPr>
                <w:rFonts w:hint="eastAsia"/>
                <w:color w:val="000000"/>
              </w:rPr>
              <w:t>162481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19栖科01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50,000,000.00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3.72</w:t>
            </w:r>
          </w:p>
        </w:tc>
      </w:tr>
      <w:tr w:rsidR="00EE6F8D">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E6F8D" w:rsidRDefault="00EE6F8D">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E6F8D" w:rsidRPr="00EE6F8D" w:rsidRDefault="00EE6F8D" w:rsidP="00EE6F8D">
            <w:pPr>
              <w:pStyle w:val="biaogecenter"/>
              <w:wordWrap w:val="0"/>
              <w:rPr>
                <w:color w:val="000000"/>
              </w:rPr>
            </w:pPr>
            <w:r w:rsidRPr="00EE6F8D">
              <w:rPr>
                <w:rFonts w:hint="eastAsia"/>
                <w:color w:val="000000"/>
              </w:rPr>
              <w:t>032000483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20浦口交通PPN001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40,385,760.00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3.01</w:t>
            </w:r>
          </w:p>
        </w:tc>
      </w:tr>
      <w:tr w:rsidR="00EE6F8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E6F8D" w:rsidRDefault="00EE6F8D">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E6F8D" w:rsidRPr="00EE6F8D" w:rsidRDefault="00EE6F8D" w:rsidP="00EE6F8D">
            <w:pPr>
              <w:pStyle w:val="biaogecenter"/>
              <w:wordWrap w:val="0"/>
              <w:rPr>
                <w:color w:val="000000"/>
              </w:rPr>
            </w:pPr>
            <w:r w:rsidRPr="00EE6F8D">
              <w:rPr>
                <w:rFonts w:hint="eastAsia"/>
                <w:color w:val="000000"/>
              </w:rPr>
              <w:t>102000324</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20海兴MTN001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40,310,760.00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E6F8D" w:rsidRPr="00EE6F8D" w:rsidRDefault="00EE6F8D" w:rsidP="00EE6F8D">
            <w:pPr>
              <w:pStyle w:val="biaogecenter"/>
              <w:wordWrap w:val="0"/>
              <w:rPr>
                <w:color w:val="000000"/>
              </w:rPr>
            </w:pPr>
            <w:r w:rsidRPr="00EE6F8D">
              <w:rPr>
                <w:rFonts w:hint="eastAsia"/>
                <w:color w:val="000000"/>
              </w:rPr>
              <w:t>3.00</w:t>
            </w:r>
          </w:p>
        </w:tc>
      </w:tr>
    </w:tbl>
    <w:p w:rsidR="009E119A" w:rsidRDefault="009E119A">
      <w:pPr>
        <w:widowControl/>
        <w:jc w:val="left"/>
        <w:rPr>
          <w:rFonts w:ascii="宋体" w:hAnsi="宋体" w:cs="宋体"/>
          <w:b/>
          <w:sz w:val="24"/>
          <w:szCs w:val="24"/>
          <w:shd w:val="clear" w:color="auto" w:fill="FFFFFF"/>
        </w:rPr>
      </w:pPr>
    </w:p>
    <w:p w:rsidR="009E119A" w:rsidRDefault="000E4F41">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5</w:t>
      </w:r>
      <w:r w:rsidR="00981C34">
        <w:rPr>
          <w:rFonts w:ascii="宋体" w:hAnsi="宋体" w:cs="宋体" w:hint="eastAsia"/>
          <w:b/>
          <w:sz w:val="24"/>
          <w:szCs w:val="24"/>
          <w:shd w:val="clear" w:color="auto" w:fill="FFFFFF"/>
        </w:rPr>
        <w:t>.3报告期末非标准化债权类资产明细</w:t>
      </w:r>
    </w:p>
    <w:p w:rsidR="009E119A" w:rsidRDefault="009E119A">
      <w:pPr>
        <w:widowControl/>
        <w:jc w:val="left"/>
        <w:rPr>
          <w:b/>
          <w:shd w:val="clear" w:color="auto" w:fill="FFFFFF"/>
        </w:rPr>
      </w:pPr>
    </w:p>
    <w:tbl>
      <w:tblPr>
        <w:tblW w:w="0" w:type="auto"/>
        <w:tblInd w:w="108" w:type="dxa"/>
        <w:tblLayout w:type="fixed"/>
        <w:tblLook w:val="04A0"/>
      </w:tblPr>
      <w:tblGrid>
        <w:gridCol w:w="451"/>
        <w:gridCol w:w="2384"/>
        <w:gridCol w:w="1701"/>
        <w:gridCol w:w="1134"/>
        <w:gridCol w:w="1134"/>
        <w:gridCol w:w="1276"/>
        <w:gridCol w:w="851"/>
      </w:tblGrid>
      <w:tr w:rsidR="009E119A" w:rsidTr="00E83418">
        <w:tc>
          <w:tcPr>
            <w:tcW w:w="451"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wordWrap w:val="0"/>
              <w:rPr>
                <w:shd w:val="clear" w:color="auto" w:fill="FFFFFF"/>
              </w:rPr>
            </w:pPr>
            <w:r>
              <w:rPr>
                <w:rFonts w:hAnsi="Calibri" w:hint="eastAsia"/>
                <w:shd w:val="clear" w:color="auto" w:fill="FFFFFF"/>
              </w:rPr>
              <w:lastRenderedPageBreak/>
              <w:t>序号</w:t>
            </w:r>
          </w:p>
        </w:tc>
        <w:tc>
          <w:tcPr>
            <w:tcW w:w="2384"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wordWrap w:val="0"/>
              <w:rPr>
                <w:shd w:val="clear" w:color="auto" w:fill="FFFFFF"/>
              </w:rPr>
            </w:pPr>
            <w:r>
              <w:rPr>
                <w:rFonts w:hAnsi="Calibri" w:hint="eastAsia"/>
                <w:shd w:val="clear" w:color="auto" w:fill="FFFFFF"/>
              </w:rPr>
              <w:t>项目名称</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wordWrap w:val="0"/>
              <w:rPr>
                <w:shd w:val="clear" w:color="auto" w:fill="FFFFFF"/>
              </w:rPr>
            </w:pPr>
            <w:r>
              <w:rPr>
                <w:rFonts w:hint="eastAsia"/>
                <w:shd w:val="clear" w:color="auto" w:fill="FFFFFF"/>
              </w:rPr>
              <w:t>剩余融资期限</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wordWrap w:val="0"/>
              <w:rPr>
                <w:shd w:val="clear" w:color="auto" w:fill="FFFFFF"/>
              </w:rPr>
            </w:pPr>
            <w:r>
              <w:rPr>
                <w:rFonts w:hint="eastAsia"/>
                <w:shd w:val="clear" w:color="auto" w:fill="FFFFFF"/>
              </w:rPr>
              <w:t>风险状况</w:t>
            </w:r>
          </w:p>
        </w:tc>
      </w:tr>
      <w:tr w:rsidR="008C4DE0" w:rsidTr="00E83418">
        <w:tc>
          <w:tcPr>
            <w:tcW w:w="451" w:type="dxa"/>
            <w:tcBorders>
              <w:top w:val="single" w:sz="8" w:space="0" w:color="000000"/>
              <w:left w:val="single" w:sz="8" w:space="0" w:color="000000"/>
              <w:bottom w:val="single" w:sz="8" w:space="0" w:color="000000"/>
              <w:right w:val="single" w:sz="8" w:space="0" w:color="000000"/>
            </w:tcBorders>
            <w:noWrap/>
            <w:vAlign w:val="center"/>
          </w:tcPr>
          <w:p w:rsidR="008C4DE0" w:rsidRDefault="008C4DE0">
            <w:pPr>
              <w:pStyle w:val="biaogecenter"/>
              <w:rPr>
                <w:rFonts w:hAnsi="Calibri"/>
                <w:shd w:val="clear" w:color="auto" w:fill="FFFFFF"/>
              </w:rPr>
            </w:pPr>
            <w:r>
              <w:rPr>
                <w:rFonts w:hAnsi="Calibri" w:hint="eastAsia"/>
                <w:shd w:val="clear" w:color="auto" w:fill="FFFFFF"/>
              </w:rPr>
              <w:t>1</w:t>
            </w:r>
          </w:p>
        </w:tc>
        <w:tc>
          <w:tcPr>
            <w:tcW w:w="2384"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江苏洪泽湖建设投资集团有限公司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22江苏洪泽湖01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266天</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w:t>
            </w:r>
          </w:p>
        </w:tc>
      </w:tr>
      <w:tr w:rsidR="008C4DE0" w:rsidTr="00E83418">
        <w:tc>
          <w:tcPr>
            <w:tcW w:w="451" w:type="dxa"/>
            <w:tcBorders>
              <w:top w:val="single" w:sz="8" w:space="0" w:color="000000"/>
              <w:left w:val="single" w:sz="8" w:space="0" w:color="000000"/>
              <w:bottom w:val="single" w:sz="8" w:space="0" w:color="000000"/>
              <w:right w:val="single" w:sz="8" w:space="0" w:color="000000"/>
            </w:tcBorders>
            <w:noWrap/>
            <w:vAlign w:val="center"/>
          </w:tcPr>
          <w:p w:rsidR="008C4DE0" w:rsidRDefault="008C4DE0">
            <w:pPr>
              <w:pStyle w:val="biaogecenter"/>
              <w:wordWrap w:val="0"/>
              <w:rPr>
                <w:rFonts w:hAnsi="Calibri"/>
                <w:shd w:val="clear" w:color="auto" w:fill="FFFFFF"/>
              </w:rPr>
            </w:pPr>
            <w:r>
              <w:rPr>
                <w:rFonts w:hAnsi="Calibri" w:hint="eastAsia"/>
                <w:shd w:val="clear" w:color="auto" w:fill="FFFFFF"/>
              </w:rPr>
              <w:t>2</w:t>
            </w:r>
          </w:p>
        </w:tc>
        <w:tc>
          <w:tcPr>
            <w:tcW w:w="2384"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绍兴袍江工业区投资开发有限公司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22绍兴袍江02</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261天</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w:t>
            </w:r>
          </w:p>
        </w:tc>
      </w:tr>
      <w:tr w:rsidR="008C4DE0" w:rsidTr="00E83418">
        <w:tc>
          <w:tcPr>
            <w:tcW w:w="451" w:type="dxa"/>
            <w:tcBorders>
              <w:top w:val="single" w:sz="8" w:space="0" w:color="000000"/>
              <w:left w:val="single" w:sz="8" w:space="0" w:color="000000"/>
              <w:bottom w:val="single" w:sz="8" w:space="0" w:color="000000"/>
              <w:right w:val="single" w:sz="8" w:space="0" w:color="000000"/>
            </w:tcBorders>
            <w:noWrap/>
            <w:vAlign w:val="center"/>
          </w:tcPr>
          <w:p w:rsidR="008C4DE0" w:rsidRDefault="008C4DE0">
            <w:pPr>
              <w:pStyle w:val="biaogecenter"/>
              <w:wordWrap w:val="0"/>
              <w:rPr>
                <w:rFonts w:hAnsi="Calibri"/>
                <w:shd w:val="clear" w:color="auto" w:fill="FFFFFF"/>
              </w:rPr>
            </w:pPr>
            <w:r>
              <w:rPr>
                <w:rFonts w:hAnsi="Calibri" w:hint="eastAsia"/>
                <w:shd w:val="clear" w:color="auto" w:fill="FFFFFF"/>
              </w:rPr>
              <w:t>3</w:t>
            </w:r>
          </w:p>
        </w:tc>
        <w:tc>
          <w:tcPr>
            <w:tcW w:w="2384"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扬州安康产业投资有限公司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22扬州安康02</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266天</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w:t>
            </w:r>
          </w:p>
        </w:tc>
      </w:tr>
      <w:tr w:rsidR="008C4DE0" w:rsidTr="00E83418">
        <w:tc>
          <w:tcPr>
            <w:tcW w:w="451" w:type="dxa"/>
            <w:tcBorders>
              <w:top w:val="single" w:sz="8" w:space="0" w:color="000000"/>
              <w:left w:val="single" w:sz="8" w:space="0" w:color="000000"/>
              <w:bottom w:val="single" w:sz="8" w:space="0" w:color="000000"/>
              <w:right w:val="single" w:sz="8" w:space="0" w:color="000000"/>
            </w:tcBorders>
            <w:noWrap/>
            <w:vAlign w:val="center"/>
          </w:tcPr>
          <w:p w:rsidR="008C4DE0" w:rsidRDefault="008C4DE0">
            <w:pPr>
              <w:pStyle w:val="biaogecenter"/>
              <w:wordWrap w:val="0"/>
              <w:rPr>
                <w:rFonts w:hAnsi="Calibri"/>
                <w:shd w:val="clear" w:color="auto" w:fill="FFFFFF"/>
              </w:rPr>
            </w:pPr>
            <w:r>
              <w:rPr>
                <w:rFonts w:hAnsi="Calibri" w:hint="eastAsia"/>
                <w:shd w:val="clear" w:color="auto" w:fill="FFFFFF"/>
              </w:rPr>
              <w:t>4</w:t>
            </w:r>
          </w:p>
        </w:tc>
        <w:tc>
          <w:tcPr>
            <w:tcW w:w="2384"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扬州盛裕投资发展有限公司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22扬州盛裕01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267天</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w:t>
            </w:r>
          </w:p>
        </w:tc>
      </w:tr>
      <w:tr w:rsidR="008C4DE0" w:rsidTr="00E83418">
        <w:tc>
          <w:tcPr>
            <w:tcW w:w="451" w:type="dxa"/>
            <w:tcBorders>
              <w:top w:val="single" w:sz="8" w:space="0" w:color="000000"/>
              <w:left w:val="single" w:sz="8" w:space="0" w:color="000000"/>
              <w:bottom w:val="single" w:sz="6" w:space="0" w:color="000000"/>
              <w:right w:val="single" w:sz="8" w:space="0" w:color="000000"/>
            </w:tcBorders>
            <w:noWrap/>
            <w:vAlign w:val="center"/>
          </w:tcPr>
          <w:p w:rsidR="008C4DE0" w:rsidRDefault="008C4DE0">
            <w:pPr>
              <w:pStyle w:val="biaogecenter"/>
              <w:wordWrap w:val="0"/>
              <w:rPr>
                <w:rFonts w:hAnsi="Calibri"/>
                <w:shd w:val="clear" w:color="auto" w:fill="FFFFFF"/>
              </w:rPr>
            </w:pPr>
            <w:r>
              <w:rPr>
                <w:rFonts w:hAnsi="Calibri" w:hint="eastAsia"/>
                <w:shd w:val="clear" w:color="auto" w:fill="FFFFFF"/>
              </w:rPr>
              <w:t>5</w:t>
            </w:r>
          </w:p>
        </w:tc>
        <w:tc>
          <w:tcPr>
            <w:tcW w:w="2384" w:type="dxa"/>
            <w:tcBorders>
              <w:top w:val="single" w:sz="8" w:space="0" w:color="000000"/>
              <w:left w:val="single" w:sz="8" w:space="0" w:color="000000"/>
              <w:bottom w:val="single" w:sz="6"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杭州之江城市建设投资集团有限公司</w:t>
            </w:r>
          </w:p>
        </w:tc>
        <w:tc>
          <w:tcPr>
            <w:tcW w:w="1701" w:type="dxa"/>
            <w:tcBorders>
              <w:top w:val="single" w:sz="8" w:space="0" w:color="000000"/>
              <w:left w:val="single" w:sz="8" w:space="0" w:color="000000"/>
              <w:bottom w:val="single" w:sz="6"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22之江城投01</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268天</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利随本清</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理财直接融资工具</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8C4DE0" w:rsidRPr="008C4DE0" w:rsidRDefault="008C4DE0" w:rsidP="008C4DE0">
            <w:pPr>
              <w:pStyle w:val="biaogecenter"/>
              <w:wordWrap w:val="0"/>
              <w:rPr>
                <w:shd w:val="clear" w:color="auto" w:fill="FFFFFF"/>
              </w:rPr>
            </w:pPr>
            <w:r w:rsidRPr="008C4DE0">
              <w:rPr>
                <w:rFonts w:hint="eastAsia"/>
                <w:shd w:val="clear" w:color="auto" w:fill="FFFFFF"/>
              </w:rPr>
              <w:t>-</w:t>
            </w:r>
          </w:p>
        </w:tc>
      </w:tr>
    </w:tbl>
    <w:p w:rsidR="009E119A" w:rsidRDefault="009E119A">
      <w:pPr>
        <w:widowControl/>
        <w:jc w:val="left"/>
        <w:rPr>
          <w:rFonts w:ascii="宋体" w:hAnsi="宋体" w:cs="宋体"/>
          <w:color w:val="000000"/>
          <w:kern w:val="0"/>
          <w:sz w:val="24"/>
          <w:szCs w:val="24"/>
        </w:rPr>
      </w:pPr>
    </w:p>
    <w:p w:rsidR="009E119A" w:rsidRDefault="00981C34">
      <w:pPr>
        <w:pStyle w:val="dazhangjie"/>
        <w:rPr>
          <w:b/>
          <w:bCs/>
          <w:color w:val="000000"/>
        </w:rPr>
      </w:pPr>
      <w:r>
        <w:rPr>
          <w:rFonts w:hint="eastAsia"/>
          <w:b/>
          <w:bCs/>
          <w:color w:val="000000"/>
        </w:rPr>
        <w:t>§</w:t>
      </w:r>
      <w:r w:rsidR="000E4F41">
        <w:rPr>
          <w:rFonts w:hint="eastAsia"/>
          <w:b/>
          <w:bCs/>
          <w:color w:val="000000"/>
        </w:rPr>
        <w:t>6</w:t>
      </w:r>
      <w:r>
        <w:rPr>
          <w:rFonts w:hint="eastAsia"/>
          <w:b/>
          <w:bCs/>
          <w:color w:val="000000"/>
        </w:rPr>
        <w:t xml:space="preserve"> 投资账户信息</w:t>
      </w:r>
    </w:p>
    <w:tbl>
      <w:tblPr>
        <w:tblW w:w="4943" w:type="pct"/>
        <w:tblInd w:w="102" w:type="dxa"/>
        <w:tblLook w:val="04A0"/>
      </w:tblPr>
      <w:tblGrid>
        <w:gridCol w:w="711"/>
        <w:gridCol w:w="1319"/>
        <w:gridCol w:w="2390"/>
        <w:gridCol w:w="3461"/>
        <w:gridCol w:w="1319"/>
      </w:tblGrid>
      <w:tr w:rsidR="009E119A" w:rsidTr="000E4F41">
        <w:trPr>
          <w:trHeight w:val="705"/>
        </w:trPr>
        <w:tc>
          <w:tcPr>
            <w:tcW w:w="386" w:type="pct"/>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rPr>
                <w:shd w:val="clear" w:color="auto" w:fill="FFFFFF"/>
              </w:rPr>
            </w:pPr>
            <w:r>
              <w:rPr>
                <w:rFonts w:hAnsi="Calibri" w:hint="eastAsia"/>
                <w:shd w:val="clear" w:color="auto" w:fill="FFFFFF"/>
              </w:rPr>
              <w:t>序号</w:t>
            </w:r>
          </w:p>
        </w:tc>
        <w:tc>
          <w:tcPr>
            <w:tcW w:w="717" w:type="pct"/>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wordWrap w:val="0"/>
              <w:rPr>
                <w:shd w:val="clear" w:color="auto" w:fill="FFFFFF"/>
              </w:rPr>
            </w:pPr>
            <w:r>
              <w:rPr>
                <w:rFonts w:hint="eastAsia"/>
                <w:shd w:val="clear" w:color="auto" w:fill="FFFFFF"/>
              </w:rPr>
              <w:t>账户类型</w:t>
            </w:r>
          </w:p>
        </w:tc>
        <w:tc>
          <w:tcPr>
            <w:tcW w:w="1299" w:type="pct"/>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wordWrap w:val="0"/>
              <w:rPr>
                <w:shd w:val="clear" w:color="auto" w:fill="FFFFFF"/>
              </w:rPr>
            </w:pPr>
            <w:r>
              <w:rPr>
                <w:rFonts w:hAnsi="Calibri" w:hint="eastAsia"/>
                <w:shd w:val="clear" w:color="auto" w:fill="FFFFFF"/>
              </w:rPr>
              <w:t>账号</w:t>
            </w:r>
          </w:p>
        </w:tc>
        <w:tc>
          <w:tcPr>
            <w:tcW w:w="1881" w:type="pct"/>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wordWrap w:val="0"/>
              <w:rPr>
                <w:shd w:val="clear" w:color="auto" w:fill="FFFFFF"/>
              </w:rPr>
            </w:pPr>
            <w:r>
              <w:rPr>
                <w:rFonts w:hint="eastAsia"/>
                <w:shd w:val="clear" w:color="auto" w:fill="FFFFFF"/>
              </w:rPr>
              <w:t>账户名称</w:t>
            </w:r>
          </w:p>
        </w:tc>
        <w:tc>
          <w:tcPr>
            <w:tcW w:w="717" w:type="pct"/>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wordWrap w:val="0"/>
              <w:rPr>
                <w:shd w:val="clear" w:color="auto" w:fill="FFFFFF"/>
              </w:rPr>
            </w:pPr>
            <w:r>
              <w:rPr>
                <w:rFonts w:hint="eastAsia"/>
                <w:shd w:val="clear" w:color="auto" w:fill="FFFFFF"/>
              </w:rPr>
              <w:t>开户单位</w:t>
            </w:r>
          </w:p>
        </w:tc>
      </w:tr>
      <w:tr w:rsidR="009E119A" w:rsidTr="000E4F41">
        <w:trPr>
          <w:trHeight w:val="364"/>
        </w:trPr>
        <w:tc>
          <w:tcPr>
            <w:tcW w:w="386" w:type="pct"/>
            <w:tcBorders>
              <w:top w:val="single" w:sz="8" w:space="0" w:color="000000"/>
              <w:left w:val="single" w:sz="8" w:space="0" w:color="000000"/>
              <w:bottom w:val="single" w:sz="8" w:space="0" w:color="000000"/>
              <w:right w:val="single" w:sz="8" w:space="0" w:color="000000"/>
            </w:tcBorders>
            <w:noWrap/>
            <w:vAlign w:val="center"/>
          </w:tcPr>
          <w:p w:rsidR="009E119A" w:rsidRDefault="00981C34">
            <w:pPr>
              <w:pStyle w:val="biaogecenter"/>
              <w:wordWrap w:val="0"/>
              <w:rPr>
                <w:shd w:val="clear" w:color="auto" w:fill="FFFFFF"/>
              </w:rPr>
            </w:pPr>
            <w:r>
              <w:rPr>
                <w:rFonts w:hAnsi="Calibri" w:hint="eastAsia"/>
                <w:shd w:val="clear" w:color="auto" w:fill="FFFFFF"/>
              </w:rPr>
              <w:t>1</w:t>
            </w:r>
          </w:p>
        </w:tc>
        <w:tc>
          <w:tcPr>
            <w:tcW w:w="717" w:type="pct"/>
            <w:tcBorders>
              <w:top w:val="single" w:sz="8" w:space="0" w:color="000000"/>
              <w:left w:val="single" w:sz="8" w:space="0" w:color="000000"/>
              <w:bottom w:val="single" w:sz="8" w:space="0" w:color="000000"/>
              <w:right w:val="single" w:sz="8" w:space="0" w:color="000000"/>
            </w:tcBorders>
            <w:noWrap/>
            <w:vAlign w:val="bottom"/>
          </w:tcPr>
          <w:p w:rsidR="009E119A" w:rsidRDefault="00981C34">
            <w:pPr>
              <w:pStyle w:val="biaogecenter"/>
              <w:wordWrap w:val="0"/>
              <w:rPr>
                <w:shd w:val="clear" w:color="auto" w:fill="FFFFFF"/>
              </w:rPr>
            </w:pPr>
            <w:r>
              <w:rPr>
                <w:shd w:val="clear" w:color="auto" w:fill="FFFFFF"/>
              </w:rPr>
              <w:t>托管账户</w:t>
            </w:r>
          </w:p>
        </w:tc>
        <w:tc>
          <w:tcPr>
            <w:tcW w:w="1299" w:type="pct"/>
            <w:tcBorders>
              <w:top w:val="single" w:sz="8" w:space="0" w:color="000000"/>
              <w:left w:val="single" w:sz="8" w:space="0" w:color="000000"/>
              <w:bottom w:val="single" w:sz="8" w:space="0" w:color="000000"/>
              <w:right w:val="single" w:sz="8" w:space="0" w:color="000000"/>
            </w:tcBorders>
            <w:noWrap/>
            <w:vAlign w:val="center"/>
          </w:tcPr>
          <w:p w:rsidR="009E119A" w:rsidRDefault="00981C34">
            <w:pPr>
              <w:pStyle w:val="biaogecenter"/>
              <w:wordWrap w:val="0"/>
              <w:rPr>
                <w:shd w:val="clear" w:color="auto" w:fill="FFFFFF"/>
              </w:rPr>
            </w:pPr>
            <w:r>
              <w:rPr>
                <w:shd w:val="clear" w:color="auto" w:fill="FFFFFF"/>
              </w:rPr>
              <w:t>0120070000000259</w:t>
            </w:r>
          </w:p>
        </w:tc>
        <w:tc>
          <w:tcPr>
            <w:tcW w:w="1881" w:type="pct"/>
            <w:tcBorders>
              <w:top w:val="single" w:sz="8" w:space="0" w:color="000000"/>
              <w:left w:val="single" w:sz="8" w:space="0" w:color="000000"/>
              <w:bottom w:val="single" w:sz="8" w:space="0" w:color="000000"/>
              <w:right w:val="single" w:sz="8" w:space="0" w:color="000000"/>
            </w:tcBorders>
            <w:noWrap/>
            <w:vAlign w:val="center"/>
          </w:tcPr>
          <w:p w:rsidR="009E119A" w:rsidRDefault="00981C34">
            <w:pPr>
              <w:pStyle w:val="biaogecenter"/>
              <w:wordWrap w:val="0"/>
              <w:rPr>
                <w:shd w:val="clear" w:color="auto" w:fill="FFFFFF"/>
              </w:rPr>
            </w:pPr>
            <w:r>
              <w:rPr>
                <w:shd w:val="clear" w:color="auto" w:fill="FFFFFF"/>
              </w:rPr>
              <w:t>南京银行安稳1903一年定开</w:t>
            </w:r>
          </w:p>
        </w:tc>
        <w:tc>
          <w:tcPr>
            <w:tcW w:w="717" w:type="pct"/>
            <w:tcBorders>
              <w:top w:val="single" w:sz="8" w:space="0" w:color="000000"/>
              <w:left w:val="single" w:sz="8" w:space="0" w:color="000000"/>
              <w:bottom w:val="single" w:sz="8" w:space="0" w:color="000000"/>
              <w:right w:val="single" w:sz="8" w:space="0" w:color="000000"/>
            </w:tcBorders>
            <w:noWrap/>
            <w:vAlign w:val="center"/>
          </w:tcPr>
          <w:p w:rsidR="009E119A" w:rsidRDefault="00981C34">
            <w:pPr>
              <w:pStyle w:val="biaogecenter"/>
              <w:wordWrap w:val="0"/>
              <w:rPr>
                <w:shd w:val="clear" w:color="auto" w:fill="FFFFFF"/>
              </w:rPr>
            </w:pPr>
            <w:r>
              <w:rPr>
                <w:shd w:val="clear" w:color="auto" w:fill="FFFFFF"/>
              </w:rPr>
              <w:t>南京银行</w:t>
            </w:r>
          </w:p>
        </w:tc>
      </w:tr>
    </w:tbl>
    <w:p w:rsidR="000E4F41" w:rsidRDefault="000E4F41" w:rsidP="000E4F41">
      <w:pPr>
        <w:pStyle w:val="biaogeright"/>
        <w:jc w:val="left"/>
        <w:rPr>
          <w:b/>
          <w:bCs/>
          <w:color w:val="000000"/>
        </w:rPr>
      </w:pPr>
    </w:p>
    <w:p w:rsidR="000E4F41" w:rsidRDefault="000E4F41" w:rsidP="000E4F41">
      <w:pPr>
        <w:pStyle w:val="biaogeright"/>
        <w:jc w:val="center"/>
        <w:rPr>
          <w:b/>
          <w:bCs/>
          <w:color w:val="000000"/>
        </w:rPr>
      </w:pPr>
      <w:r>
        <w:rPr>
          <w:rFonts w:hint="eastAsia"/>
          <w:b/>
          <w:bCs/>
          <w:color w:val="000000"/>
        </w:rPr>
        <w:t>§7 关联交易情况</w:t>
      </w:r>
    </w:p>
    <w:p w:rsidR="00BD1F31" w:rsidRDefault="00BD1F31" w:rsidP="00BD1F31">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报告期内，产品投资于关联方发行的证券、关联方作为融资人的非标准化债权类资产业务交易金额</w:t>
      </w:r>
      <w:r>
        <w:rPr>
          <w:rFonts w:ascii="宋体"/>
          <w:sz w:val="24"/>
        </w:rPr>
        <w:t>0.00</w:t>
      </w:r>
      <w:r>
        <w:rPr>
          <w:rFonts w:ascii="宋体" w:hAnsi="宋体" w:hint="eastAsia"/>
          <w:sz w:val="24"/>
        </w:rPr>
        <w:t>元。</w:t>
      </w:r>
    </w:p>
    <w:p w:rsidR="00BD1F31" w:rsidRDefault="00BD1F31" w:rsidP="00BD1F31">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产品投资于关联方承销的证券交易金额</w:t>
      </w:r>
      <w:r>
        <w:rPr>
          <w:rFonts w:ascii="宋体" w:hAnsi="宋体"/>
          <w:sz w:val="24"/>
        </w:rPr>
        <w:t>630,001,917.81</w:t>
      </w:r>
      <w:r>
        <w:rPr>
          <w:rFonts w:ascii="宋体" w:hAnsi="宋体" w:hint="eastAsia"/>
          <w:sz w:val="24"/>
        </w:rPr>
        <w:t>元。</w:t>
      </w:r>
    </w:p>
    <w:p w:rsidR="00BD1F31" w:rsidRDefault="00BD1F31" w:rsidP="00BD1F31">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产品与关联方作为交易对手开展的投融资业务交易金额</w:t>
      </w:r>
      <w:r>
        <w:rPr>
          <w:rFonts w:ascii="宋体"/>
          <w:sz w:val="24"/>
        </w:rPr>
        <w:t>0.00</w:t>
      </w:r>
      <w:r>
        <w:rPr>
          <w:rFonts w:ascii="宋体" w:hAnsi="宋体" w:hint="eastAsia"/>
          <w:sz w:val="24"/>
        </w:rPr>
        <w:t>元。</w:t>
      </w:r>
    </w:p>
    <w:p w:rsidR="00BD1F31" w:rsidRDefault="00BD1F31" w:rsidP="00BD1F31">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产品投资关联方作为管理人的资产管理产品交易金额</w:t>
      </w:r>
      <w:r>
        <w:rPr>
          <w:rFonts w:ascii="宋体"/>
          <w:sz w:val="24"/>
        </w:rPr>
        <w:t>0.00</w:t>
      </w:r>
      <w:r>
        <w:rPr>
          <w:rFonts w:ascii="宋体" w:hAnsi="宋体" w:hint="eastAsia"/>
          <w:sz w:val="24"/>
        </w:rPr>
        <w:t>元。</w:t>
      </w:r>
    </w:p>
    <w:p w:rsidR="00BD1F31" w:rsidRDefault="00BD1F31" w:rsidP="00BD1F31">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w:t>
      </w:r>
      <w:r w:rsidR="005C4BE2">
        <w:rPr>
          <w:rFonts w:ascii="宋体" w:hAnsi="宋体" w:hint="eastAsia"/>
          <w:sz w:val="24"/>
        </w:rPr>
        <w:t>应</w:t>
      </w:r>
      <w:r>
        <w:rPr>
          <w:rFonts w:ascii="宋体" w:hAnsi="宋体" w:hint="eastAsia"/>
          <w:sz w:val="24"/>
        </w:rPr>
        <w:t>支付关联方托管费</w:t>
      </w:r>
      <w:r>
        <w:rPr>
          <w:rFonts w:ascii="宋体" w:hAnsi="宋体"/>
          <w:sz w:val="24"/>
        </w:rPr>
        <w:t>119,122.47</w:t>
      </w:r>
      <w:r>
        <w:rPr>
          <w:rFonts w:ascii="宋体" w:hAnsi="宋体" w:hint="eastAsia"/>
          <w:sz w:val="24"/>
        </w:rPr>
        <w:t>元，</w:t>
      </w:r>
      <w:r w:rsidR="005C4BE2">
        <w:rPr>
          <w:rFonts w:ascii="宋体" w:hAnsi="宋体" w:hint="eastAsia"/>
          <w:sz w:val="24"/>
        </w:rPr>
        <w:t>应</w:t>
      </w:r>
      <w:r>
        <w:rPr>
          <w:rFonts w:ascii="宋体" w:hAnsi="宋体" w:hint="eastAsia"/>
          <w:sz w:val="24"/>
        </w:rPr>
        <w:t>支付关联方代销费</w:t>
      </w:r>
      <w:r>
        <w:rPr>
          <w:rFonts w:ascii="宋体" w:hAnsi="宋体"/>
          <w:sz w:val="24"/>
        </w:rPr>
        <w:t>1,179,541.24</w:t>
      </w:r>
      <w:r>
        <w:rPr>
          <w:rFonts w:ascii="宋体" w:hAnsi="宋体" w:hint="eastAsia"/>
          <w:sz w:val="24"/>
        </w:rPr>
        <w:t>元。</w:t>
      </w:r>
    </w:p>
    <w:p w:rsidR="00BD1F31" w:rsidRDefault="00BD1F31" w:rsidP="00BD1F31">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产品发生其他关联交易金额</w:t>
      </w:r>
      <w:r>
        <w:rPr>
          <w:rFonts w:ascii="宋体"/>
          <w:sz w:val="24"/>
        </w:rPr>
        <w:t>0.00</w:t>
      </w:r>
      <w:r>
        <w:rPr>
          <w:rFonts w:ascii="宋体" w:hAnsi="宋体" w:hint="eastAsia"/>
          <w:sz w:val="24"/>
        </w:rPr>
        <w:t>元。</w:t>
      </w:r>
    </w:p>
    <w:p w:rsidR="009E119A" w:rsidRPr="005C4BE2" w:rsidRDefault="00BD1F31" w:rsidP="005C4BE2">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cs="宋体" w:hint="eastAsia"/>
          <w:color w:val="000000"/>
          <w:kern w:val="0"/>
          <w:sz w:val="24"/>
          <w:szCs w:val="24"/>
        </w:rPr>
        <w:t>报告期内，产品未发生重大关联交易。</w:t>
      </w:r>
    </w:p>
    <w:p w:rsidR="009E119A" w:rsidRDefault="009E119A">
      <w:pPr>
        <w:widowControl/>
        <w:jc w:val="left"/>
        <w:rPr>
          <w:rFonts w:ascii="宋体" w:hAnsi="宋体" w:cs="宋体"/>
          <w:color w:val="000000"/>
          <w:kern w:val="0"/>
          <w:sz w:val="24"/>
          <w:szCs w:val="24"/>
        </w:rPr>
      </w:pPr>
    </w:p>
    <w:p w:rsidR="009E119A" w:rsidRDefault="009E119A">
      <w:pPr>
        <w:widowControl/>
        <w:jc w:val="left"/>
        <w:rPr>
          <w:color w:val="000000"/>
        </w:rPr>
      </w:pPr>
    </w:p>
    <w:p w:rsidR="009E119A" w:rsidRDefault="00981C34">
      <w:pPr>
        <w:pStyle w:val="biaogeright"/>
        <w:rPr>
          <w:rFonts w:hAnsi="Calibri"/>
          <w:b/>
          <w:bCs/>
          <w:color w:val="000000"/>
        </w:rPr>
      </w:pPr>
      <w:r>
        <w:rPr>
          <w:rFonts w:hAnsi="Calibri" w:hint="eastAsia"/>
          <w:b/>
          <w:bCs/>
          <w:color w:val="000000"/>
        </w:rPr>
        <w:t>南银理财有限责任公司</w:t>
      </w:r>
    </w:p>
    <w:p w:rsidR="009E119A" w:rsidRDefault="0061309D" w:rsidP="0061309D">
      <w:pPr>
        <w:pStyle w:val="biaogeright"/>
        <w:rPr>
          <w:rFonts w:hAnsi="Calibri"/>
          <w:b/>
          <w:bCs/>
          <w:color w:val="000000"/>
        </w:rPr>
      </w:pPr>
      <w:r>
        <w:rPr>
          <w:rFonts w:hAnsi="Calibri" w:hint="eastAsia"/>
          <w:b/>
          <w:bCs/>
          <w:color w:val="000000"/>
        </w:rPr>
        <w:t>2022年6月30日</w:t>
      </w:r>
    </w:p>
    <w:sectPr w:rsidR="009E119A" w:rsidSect="009E119A">
      <w:footerReference w:type="even" r:id="rId7"/>
      <w:footerReference w:type="default" r:id="rId8"/>
      <w:headerReference w:type="first" r:id="rId9"/>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AB3" w:rsidRDefault="00140AB3" w:rsidP="009E119A">
      <w:r>
        <w:separator/>
      </w:r>
    </w:p>
  </w:endnote>
  <w:endnote w:type="continuationSeparator" w:id="1">
    <w:p w:rsidR="00140AB3" w:rsidRDefault="00140AB3" w:rsidP="009E11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19A" w:rsidRDefault="00801EBB">
    <w:pPr>
      <w:pStyle w:val="a4"/>
      <w:framePr w:wrap="around" w:vAnchor="text" w:hAnchor="margin" w:xAlign="center" w:y="1"/>
      <w:rPr>
        <w:rStyle w:val="a8"/>
      </w:rPr>
    </w:pPr>
    <w:r>
      <w:fldChar w:fldCharType="begin"/>
    </w:r>
    <w:r w:rsidR="00981C34">
      <w:rPr>
        <w:rStyle w:val="a8"/>
      </w:rPr>
      <w:instrText xml:space="preserve">PAGE  </w:instrText>
    </w:r>
    <w:r>
      <w:fldChar w:fldCharType="end"/>
    </w:r>
  </w:p>
  <w:p w:rsidR="009E119A" w:rsidRDefault="009E119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19A" w:rsidRDefault="009E119A">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AB3" w:rsidRDefault="00140AB3" w:rsidP="009E119A">
      <w:r>
        <w:separator/>
      </w:r>
    </w:p>
  </w:footnote>
  <w:footnote w:type="continuationSeparator" w:id="1">
    <w:p w:rsidR="00140AB3" w:rsidRDefault="00140AB3" w:rsidP="009E11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19A" w:rsidRDefault="00981C34">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0242"/>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60D353D0"/>
    <w:rsid w:val="000060E5"/>
    <w:rsid w:val="000102DF"/>
    <w:rsid w:val="0001095F"/>
    <w:rsid w:val="00030F14"/>
    <w:rsid w:val="00031AE6"/>
    <w:rsid w:val="00034FF6"/>
    <w:rsid w:val="00044BFF"/>
    <w:rsid w:val="0005474A"/>
    <w:rsid w:val="00055E6B"/>
    <w:rsid w:val="0005669F"/>
    <w:rsid w:val="00061725"/>
    <w:rsid w:val="00067886"/>
    <w:rsid w:val="00093286"/>
    <w:rsid w:val="00097240"/>
    <w:rsid w:val="000A07E0"/>
    <w:rsid w:val="000B285B"/>
    <w:rsid w:val="000C44EE"/>
    <w:rsid w:val="000D5066"/>
    <w:rsid w:val="000D5F8E"/>
    <w:rsid w:val="000E4F41"/>
    <w:rsid w:val="000F6191"/>
    <w:rsid w:val="000F6CC0"/>
    <w:rsid w:val="000F6E48"/>
    <w:rsid w:val="0010610C"/>
    <w:rsid w:val="00110E09"/>
    <w:rsid w:val="00114E0C"/>
    <w:rsid w:val="00120617"/>
    <w:rsid w:val="00130CE8"/>
    <w:rsid w:val="00140AB3"/>
    <w:rsid w:val="00145A17"/>
    <w:rsid w:val="00152201"/>
    <w:rsid w:val="0016590B"/>
    <w:rsid w:val="00176636"/>
    <w:rsid w:val="00183C84"/>
    <w:rsid w:val="001A0B70"/>
    <w:rsid w:val="001A339C"/>
    <w:rsid w:val="001B267F"/>
    <w:rsid w:val="001B7DCA"/>
    <w:rsid w:val="001C05F9"/>
    <w:rsid w:val="001C5395"/>
    <w:rsid w:val="001D5A30"/>
    <w:rsid w:val="001D7059"/>
    <w:rsid w:val="001D72A9"/>
    <w:rsid w:val="001E755A"/>
    <w:rsid w:val="001F4650"/>
    <w:rsid w:val="001F5321"/>
    <w:rsid w:val="0020030D"/>
    <w:rsid w:val="002114A7"/>
    <w:rsid w:val="00211F26"/>
    <w:rsid w:val="002263FC"/>
    <w:rsid w:val="00231AC2"/>
    <w:rsid w:val="0023550F"/>
    <w:rsid w:val="002408FD"/>
    <w:rsid w:val="0024254D"/>
    <w:rsid w:val="00246BB9"/>
    <w:rsid w:val="00251657"/>
    <w:rsid w:val="00251EAD"/>
    <w:rsid w:val="0026513C"/>
    <w:rsid w:val="002718A2"/>
    <w:rsid w:val="002813D0"/>
    <w:rsid w:val="002900B6"/>
    <w:rsid w:val="00290D0E"/>
    <w:rsid w:val="002A01E0"/>
    <w:rsid w:val="002A3AE9"/>
    <w:rsid w:val="002B2C71"/>
    <w:rsid w:val="002B36BD"/>
    <w:rsid w:val="002C02B2"/>
    <w:rsid w:val="002C196E"/>
    <w:rsid w:val="002D75D0"/>
    <w:rsid w:val="002E795C"/>
    <w:rsid w:val="002F3AEA"/>
    <w:rsid w:val="0030002B"/>
    <w:rsid w:val="0030118D"/>
    <w:rsid w:val="00321CB7"/>
    <w:rsid w:val="00336DF9"/>
    <w:rsid w:val="003379A9"/>
    <w:rsid w:val="00347110"/>
    <w:rsid w:val="00350ADF"/>
    <w:rsid w:val="00352612"/>
    <w:rsid w:val="00355623"/>
    <w:rsid w:val="00363F78"/>
    <w:rsid w:val="00373526"/>
    <w:rsid w:val="003867E5"/>
    <w:rsid w:val="00395752"/>
    <w:rsid w:val="003A0419"/>
    <w:rsid w:val="003A3B06"/>
    <w:rsid w:val="003B5524"/>
    <w:rsid w:val="003B73EB"/>
    <w:rsid w:val="003C2E6D"/>
    <w:rsid w:val="003D60DC"/>
    <w:rsid w:val="003E09EA"/>
    <w:rsid w:val="003F0AC3"/>
    <w:rsid w:val="004035EA"/>
    <w:rsid w:val="004135D0"/>
    <w:rsid w:val="00426B51"/>
    <w:rsid w:val="004432ED"/>
    <w:rsid w:val="00456251"/>
    <w:rsid w:val="00456BBD"/>
    <w:rsid w:val="00466076"/>
    <w:rsid w:val="004706CE"/>
    <w:rsid w:val="00477329"/>
    <w:rsid w:val="004774DC"/>
    <w:rsid w:val="00487993"/>
    <w:rsid w:val="00487AA2"/>
    <w:rsid w:val="004B6ECA"/>
    <w:rsid w:val="004C1607"/>
    <w:rsid w:val="004E0C32"/>
    <w:rsid w:val="005069D8"/>
    <w:rsid w:val="005157B2"/>
    <w:rsid w:val="0052214C"/>
    <w:rsid w:val="0054267A"/>
    <w:rsid w:val="00545F71"/>
    <w:rsid w:val="00551558"/>
    <w:rsid w:val="00561127"/>
    <w:rsid w:val="0056162E"/>
    <w:rsid w:val="00567DB3"/>
    <w:rsid w:val="00586A85"/>
    <w:rsid w:val="00594AAB"/>
    <w:rsid w:val="005B0879"/>
    <w:rsid w:val="005B3434"/>
    <w:rsid w:val="005C3ADD"/>
    <w:rsid w:val="005C4972"/>
    <w:rsid w:val="005C4BE2"/>
    <w:rsid w:val="005C75AB"/>
    <w:rsid w:val="005D5B56"/>
    <w:rsid w:val="005E775A"/>
    <w:rsid w:val="005F2C7B"/>
    <w:rsid w:val="005F4D04"/>
    <w:rsid w:val="006054F8"/>
    <w:rsid w:val="0061061C"/>
    <w:rsid w:val="0061309D"/>
    <w:rsid w:val="0062696F"/>
    <w:rsid w:val="00630B0D"/>
    <w:rsid w:val="00644987"/>
    <w:rsid w:val="006468E6"/>
    <w:rsid w:val="006472A4"/>
    <w:rsid w:val="0065419A"/>
    <w:rsid w:val="00654220"/>
    <w:rsid w:val="00655369"/>
    <w:rsid w:val="00663B94"/>
    <w:rsid w:val="00677F66"/>
    <w:rsid w:val="00681C11"/>
    <w:rsid w:val="00684926"/>
    <w:rsid w:val="006B7A7C"/>
    <w:rsid w:val="006C3B02"/>
    <w:rsid w:val="006D2006"/>
    <w:rsid w:val="006D4071"/>
    <w:rsid w:val="006E0D41"/>
    <w:rsid w:val="006E4252"/>
    <w:rsid w:val="006E4B6B"/>
    <w:rsid w:val="006E4E94"/>
    <w:rsid w:val="006F7C4D"/>
    <w:rsid w:val="00702072"/>
    <w:rsid w:val="007113CF"/>
    <w:rsid w:val="00714758"/>
    <w:rsid w:val="00730BEE"/>
    <w:rsid w:val="0073101E"/>
    <w:rsid w:val="00735153"/>
    <w:rsid w:val="00741092"/>
    <w:rsid w:val="00743B13"/>
    <w:rsid w:val="00745421"/>
    <w:rsid w:val="0074614F"/>
    <w:rsid w:val="00746181"/>
    <w:rsid w:val="00746812"/>
    <w:rsid w:val="0075476E"/>
    <w:rsid w:val="007560CF"/>
    <w:rsid w:val="00766DD5"/>
    <w:rsid w:val="0077268F"/>
    <w:rsid w:val="0077656D"/>
    <w:rsid w:val="0079089D"/>
    <w:rsid w:val="007971C0"/>
    <w:rsid w:val="007A2D7E"/>
    <w:rsid w:val="007A4219"/>
    <w:rsid w:val="007A6DDB"/>
    <w:rsid w:val="007C15C2"/>
    <w:rsid w:val="007C214E"/>
    <w:rsid w:val="007C422D"/>
    <w:rsid w:val="007C42DE"/>
    <w:rsid w:val="007D0048"/>
    <w:rsid w:val="007E2E92"/>
    <w:rsid w:val="007E40DE"/>
    <w:rsid w:val="007E42EF"/>
    <w:rsid w:val="007F5739"/>
    <w:rsid w:val="00801EBB"/>
    <w:rsid w:val="0080200C"/>
    <w:rsid w:val="008036C2"/>
    <w:rsid w:val="00814110"/>
    <w:rsid w:val="00815146"/>
    <w:rsid w:val="008179E7"/>
    <w:rsid w:val="00823A19"/>
    <w:rsid w:val="00824E9D"/>
    <w:rsid w:val="0082561A"/>
    <w:rsid w:val="00831B46"/>
    <w:rsid w:val="00846150"/>
    <w:rsid w:val="00846B2E"/>
    <w:rsid w:val="00847347"/>
    <w:rsid w:val="008517A9"/>
    <w:rsid w:val="00872F6C"/>
    <w:rsid w:val="00876788"/>
    <w:rsid w:val="0088632D"/>
    <w:rsid w:val="00890186"/>
    <w:rsid w:val="008926F7"/>
    <w:rsid w:val="0089287C"/>
    <w:rsid w:val="008A3098"/>
    <w:rsid w:val="008A7510"/>
    <w:rsid w:val="008B1EB1"/>
    <w:rsid w:val="008B672F"/>
    <w:rsid w:val="008C4DE0"/>
    <w:rsid w:val="008C68AE"/>
    <w:rsid w:val="008C78BD"/>
    <w:rsid w:val="008E165F"/>
    <w:rsid w:val="008E3B3F"/>
    <w:rsid w:val="008E5CC6"/>
    <w:rsid w:val="008F0C19"/>
    <w:rsid w:val="008F27A3"/>
    <w:rsid w:val="008F342A"/>
    <w:rsid w:val="00900D90"/>
    <w:rsid w:val="009053B4"/>
    <w:rsid w:val="00916D74"/>
    <w:rsid w:val="009349FF"/>
    <w:rsid w:val="009354D6"/>
    <w:rsid w:val="009370CF"/>
    <w:rsid w:val="00944DBE"/>
    <w:rsid w:val="00964838"/>
    <w:rsid w:val="00970A98"/>
    <w:rsid w:val="00970F7B"/>
    <w:rsid w:val="00972181"/>
    <w:rsid w:val="00981C34"/>
    <w:rsid w:val="00981ECB"/>
    <w:rsid w:val="009820E2"/>
    <w:rsid w:val="00983B6A"/>
    <w:rsid w:val="009964B2"/>
    <w:rsid w:val="009A5387"/>
    <w:rsid w:val="009C781F"/>
    <w:rsid w:val="009D3E39"/>
    <w:rsid w:val="009E119A"/>
    <w:rsid w:val="009E6170"/>
    <w:rsid w:val="00A00692"/>
    <w:rsid w:val="00A4484F"/>
    <w:rsid w:val="00A60E33"/>
    <w:rsid w:val="00A6112A"/>
    <w:rsid w:val="00A76D4B"/>
    <w:rsid w:val="00A77C47"/>
    <w:rsid w:val="00A81DCB"/>
    <w:rsid w:val="00A9119C"/>
    <w:rsid w:val="00AA2969"/>
    <w:rsid w:val="00AA4549"/>
    <w:rsid w:val="00AB0A11"/>
    <w:rsid w:val="00AB0CFC"/>
    <w:rsid w:val="00AB12F9"/>
    <w:rsid w:val="00AB5522"/>
    <w:rsid w:val="00AB6691"/>
    <w:rsid w:val="00AC5144"/>
    <w:rsid w:val="00AD3F7A"/>
    <w:rsid w:val="00AD6FA5"/>
    <w:rsid w:val="00AD77C5"/>
    <w:rsid w:val="00AE0098"/>
    <w:rsid w:val="00AE0906"/>
    <w:rsid w:val="00AE519B"/>
    <w:rsid w:val="00AF2352"/>
    <w:rsid w:val="00AF6377"/>
    <w:rsid w:val="00B05543"/>
    <w:rsid w:val="00B13014"/>
    <w:rsid w:val="00B20032"/>
    <w:rsid w:val="00B20360"/>
    <w:rsid w:val="00B21B25"/>
    <w:rsid w:val="00B33B19"/>
    <w:rsid w:val="00B404E6"/>
    <w:rsid w:val="00B4360D"/>
    <w:rsid w:val="00B54409"/>
    <w:rsid w:val="00B67966"/>
    <w:rsid w:val="00B74DCA"/>
    <w:rsid w:val="00B773B9"/>
    <w:rsid w:val="00B82278"/>
    <w:rsid w:val="00B96D3F"/>
    <w:rsid w:val="00BA2F89"/>
    <w:rsid w:val="00BA7D5C"/>
    <w:rsid w:val="00BC3903"/>
    <w:rsid w:val="00BD1F31"/>
    <w:rsid w:val="00BD7297"/>
    <w:rsid w:val="00BE196A"/>
    <w:rsid w:val="00BE47E0"/>
    <w:rsid w:val="00BF4142"/>
    <w:rsid w:val="00BF75C8"/>
    <w:rsid w:val="00C00F22"/>
    <w:rsid w:val="00C1762E"/>
    <w:rsid w:val="00C26663"/>
    <w:rsid w:val="00C30A48"/>
    <w:rsid w:val="00C35FA6"/>
    <w:rsid w:val="00C4341C"/>
    <w:rsid w:val="00C43741"/>
    <w:rsid w:val="00C457B8"/>
    <w:rsid w:val="00C52E56"/>
    <w:rsid w:val="00C531E0"/>
    <w:rsid w:val="00C57B86"/>
    <w:rsid w:val="00C640FB"/>
    <w:rsid w:val="00C65651"/>
    <w:rsid w:val="00C67091"/>
    <w:rsid w:val="00CA272D"/>
    <w:rsid w:val="00CA74D8"/>
    <w:rsid w:val="00CB054E"/>
    <w:rsid w:val="00CC232E"/>
    <w:rsid w:val="00CC29AF"/>
    <w:rsid w:val="00CC52D7"/>
    <w:rsid w:val="00CD16E5"/>
    <w:rsid w:val="00CD1D4C"/>
    <w:rsid w:val="00CF6C89"/>
    <w:rsid w:val="00D0449D"/>
    <w:rsid w:val="00D103F3"/>
    <w:rsid w:val="00D12201"/>
    <w:rsid w:val="00D2360B"/>
    <w:rsid w:val="00D23AB6"/>
    <w:rsid w:val="00D3494E"/>
    <w:rsid w:val="00D4228A"/>
    <w:rsid w:val="00D50309"/>
    <w:rsid w:val="00D51AA9"/>
    <w:rsid w:val="00D56DAF"/>
    <w:rsid w:val="00D7264A"/>
    <w:rsid w:val="00D84E43"/>
    <w:rsid w:val="00DA4BE9"/>
    <w:rsid w:val="00DB0C2F"/>
    <w:rsid w:val="00DB2644"/>
    <w:rsid w:val="00DB3BF6"/>
    <w:rsid w:val="00DC31CC"/>
    <w:rsid w:val="00DC728A"/>
    <w:rsid w:val="00DD0A94"/>
    <w:rsid w:val="00DD51B6"/>
    <w:rsid w:val="00DD597C"/>
    <w:rsid w:val="00DE67E4"/>
    <w:rsid w:val="00DF150F"/>
    <w:rsid w:val="00E00594"/>
    <w:rsid w:val="00E01920"/>
    <w:rsid w:val="00E155DF"/>
    <w:rsid w:val="00E41B5E"/>
    <w:rsid w:val="00E53D53"/>
    <w:rsid w:val="00E57E86"/>
    <w:rsid w:val="00E623AB"/>
    <w:rsid w:val="00E81502"/>
    <w:rsid w:val="00E81EDF"/>
    <w:rsid w:val="00E83418"/>
    <w:rsid w:val="00E9797A"/>
    <w:rsid w:val="00EA1D9D"/>
    <w:rsid w:val="00EA254C"/>
    <w:rsid w:val="00EA5D3D"/>
    <w:rsid w:val="00EB0FBF"/>
    <w:rsid w:val="00EB6C63"/>
    <w:rsid w:val="00EC4DE1"/>
    <w:rsid w:val="00ED4637"/>
    <w:rsid w:val="00EE0436"/>
    <w:rsid w:val="00EE6F8D"/>
    <w:rsid w:val="00EE7C80"/>
    <w:rsid w:val="00F03A02"/>
    <w:rsid w:val="00F41324"/>
    <w:rsid w:val="00F42715"/>
    <w:rsid w:val="00F609FD"/>
    <w:rsid w:val="00F66874"/>
    <w:rsid w:val="00F81345"/>
    <w:rsid w:val="00F859AB"/>
    <w:rsid w:val="00F939D0"/>
    <w:rsid w:val="00F950D0"/>
    <w:rsid w:val="00FA2C26"/>
    <w:rsid w:val="00FA650F"/>
    <w:rsid w:val="00FB6E8E"/>
    <w:rsid w:val="00FF663E"/>
    <w:rsid w:val="022C2410"/>
    <w:rsid w:val="026D0131"/>
    <w:rsid w:val="03643C6B"/>
    <w:rsid w:val="037A1E29"/>
    <w:rsid w:val="04EE43A7"/>
    <w:rsid w:val="05430913"/>
    <w:rsid w:val="066933CB"/>
    <w:rsid w:val="06CE78F2"/>
    <w:rsid w:val="08143E27"/>
    <w:rsid w:val="086A4C04"/>
    <w:rsid w:val="0B6F1F7D"/>
    <w:rsid w:val="0C673246"/>
    <w:rsid w:val="0D7F33C7"/>
    <w:rsid w:val="0DF37BFF"/>
    <w:rsid w:val="0E9D6641"/>
    <w:rsid w:val="1418619C"/>
    <w:rsid w:val="14975605"/>
    <w:rsid w:val="14A01541"/>
    <w:rsid w:val="15FE575C"/>
    <w:rsid w:val="1677277F"/>
    <w:rsid w:val="174F6B4B"/>
    <w:rsid w:val="17AF4921"/>
    <w:rsid w:val="18270B7C"/>
    <w:rsid w:val="185505DC"/>
    <w:rsid w:val="18C666BE"/>
    <w:rsid w:val="1AA87F19"/>
    <w:rsid w:val="1B363C6A"/>
    <w:rsid w:val="1B8A5B02"/>
    <w:rsid w:val="1DD376B7"/>
    <w:rsid w:val="1E911FB2"/>
    <w:rsid w:val="206D37DF"/>
    <w:rsid w:val="233002B5"/>
    <w:rsid w:val="236036FD"/>
    <w:rsid w:val="23A05440"/>
    <w:rsid w:val="23C50556"/>
    <w:rsid w:val="24960C0F"/>
    <w:rsid w:val="267E03A4"/>
    <w:rsid w:val="277874DD"/>
    <w:rsid w:val="2933258B"/>
    <w:rsid w:val="298E16C7"/>
    <w:rsid w:val="2B7C5C81"/>
    <w:rsid w:val="2F132635"/>
    <w:rsid w:val="30077F05"/>
    <w:rsid w:val="3121340F"/>
    <w:rsid w:val="336668FA"/>
    <w:rsid w:val="36316B15"/>
    <w:rsid w:val="368076E6"/>
    <w:rsid w:val="388D7049"/>
    <w:rsid w:val="3A5E67F0"/>
    <w:rsid w:val="3AF80478"/>
    <w:rsid w:val="3C0E0AC1"/>
    <w:rsid w:val="3DE33F68"/>
    <w:rsid w:val="3FB22C0A"/>
    <w:rsid w:val="40897464"/>
    <w:rsid w:val="40E1302A"/>
    <w:rsid w:val="42BE08E7"/>
    <w:rsid w:val="433A3D7A"/>
    <w:rsid w:val="43A019F4"/>
    <w:rsid w:val="448D3E3C"/>
    <w:rsid w:val="46A13001"/>
    <w:rsid w:val="4A9A51B9"/>
    <w:rsid w:val="4DEC7E75"/>
    <w:rsid w:val="4E276A76"/>
    <w:rsid w:val="4F8709AB"/>
    <w:rsid w:val="50C47F64"/>
    <w:rsid w:val="53300D28"/>
    <w:rsid w:val="55CC3E04"/>
    <w:rsid w:val="55E57CB6"/>
    <w:rsid w:val="564B4BD9"/>
    <w:rsid w:val="56696C12"/>
    <w:rsid w:val="57AD6E41"/>
    <w:rsid w:val="580B5AEB"/>
    <w:rsid w:val="5D1D443F"/>
    <w:rsid w:val="5E207B3C"/>
    <w:rsid w:val="5E337017"/>
    <w:rsid w:val="5FBD11D0"/>
    <w:rsid w:val="607644C9"/>
    <w:rsid w:val="60D353D0"/>
    <w:rsid w:val="61237A57"/>
    <w:rsid w:val="61B402D8"/>
    <w:rsid w:val="62342F4C"/>
    <w:rsid w:val="64F6329D"/>
    <w:rsid w:val="652A577F"/>
    <w:rsid w:val="65E55D8E"/>
    <w:rsid w:val="6898111C"/>
    <w:rsid w:val="691E6220"/>
    <w:rsid w:val="6983088A"/>
    <w:rsid w:val="6A485270"/>
    <w:rsid w:val="6AEF1903"/>
    <w:rsid w:val="6B37137A"/>
    <w:rsid w:val="6C145AA4"/>
    <w:rsid w:val="6DFD23E8"/>
    <w:rsid w:val="6F307698"/>
    <w:rsid w:val="702B184D"/>
    <w:rsid w:val="704B76D3"/>
    <w:rsid w:val="709D748C"/>
    <w:rsid w:val="73193673"/>
    <w:rsid w:val="78467F33"/>
    <w:rsid w:val="79D372FC"/>
    <w:rsid w:val="7A056855"/>
    <w:rsid w:val="7B582B92"/>
    <w:rsid w:val="7D36154A"/>
    <w:rsid w:val="7D8E47C1"/>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119A"/>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9E119A"/>
    <w:rPr>
      <w:sz w:val="18"/>
      <w:szCs w:val="18"/>
      <w:lang/>
    </w:rPr>
  </w:style>
  <w:style w:type="paragraph" w:styleId="a4">
    <w:name w:val="footer"/>
    <w:basedOn w:val="a"/>
    <w:link w:val="Char0"/>
    <w:uiPriority w:val="99"/>
    <w:unhideWhenUsed/>
    <w:qFormat/>
    <w:rsid w:val="009E119A"/>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9E119A"/>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9E119A"/>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9E119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9E119A"/>
  </w:style>
  <w:style w:type="paragraph" w:customStyle="1" w:styleId="zhongyaotishi">
    <w:name w:val="zhongyaotishi"/>
    <w:basedOn w:val="a"/>
    <w:qFormat/>
    <w:rsid w:val="009E119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2">
    <w:name w:val="zhangjie_p2"/>
    <w:basedOn w:val="a"/>
    <w:qFormat/>
    <w:rsid w:val="009E119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msonormalfy">
    <w:name w:val="msonormalfy"/>
    <w:qFormat/>
    <w:rsid w:val="009E119A"/>
    <w:pPr>
      <w:widowControl w:val="0"/>
      <w:jc w:val="center"/>
    </w:pPr>
    <w:rPr>
      <w:kern w:val="2"/>
      <w:sz w:val="33"/>
      <w:szCs w:val="22"/>
    </w:rPr>
  </w:style>
  <w:style w:type="paragraph" w:customStyle="1" w:styleId="neirong">
    <w:name w:val="neirong"/>
    <w:basedOn w:val="a"/>
    <w:qFormat/>
    <w:rsid w:val="009E119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9E119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9E119A"/>
    <w:pPr>
      <w:widowControl/>
      <w:spacing w:before="100" w:beforeAutospacing="1" w:after="100" w:afterAutospacing="1"/>
      <w:jc w:val="left"/>
    </w:pPr>
    <w:rPr>
      <w:rFonts w:ascii="宋体" w:hAnsi="宋体" w:cs="宋体"/>
      <w:kern w:val="0"/>
      <w:sz w:val="24"/>
      <w:szCs w:val="24"/>
    </w:rPr>
  </w:style>
  <w:style w:type="paragraph" w:customStyle="1" w:styleId="biaogeleft">
    <w:name w:val="biaoge_left"/>
    <w:basedOn w:val="a"/>
    <w:qFormat/>
    <w:rsid w:val="009E119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9E119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msonormalnone">
    <w:name w:val="msonormal_none"/>
    <w:qFormat/>
    <w:rsid w:val="009E119A"/>
    <w:pPr>
      <w:widowControl w:val="0"/>
    </w:pPr>
    <w:rPr>
      <w:kern w:val="2"/>
      <w:sz w:val="21"/>
      <w:szCs w:val="22"/>
    </w:rPr>
  </w:style>
  <w:style w:type="paragraph" w:customStyle="1" w:styleId="biaogecenter">
    <w:name w:val="biaoge_center"/>
    <w:basedOn w:val="a"/>
    <w:qFormat/>
    <w:rsid w:val="009E119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
    <w:name w:val="正文1"/>
    <w:qFormat/>
    <w:rsid w:val="009E119A"/>
    <w:pPr>
      <w:jc w:val="both"/>
    </w:pPr>
    <w:rPr>
      <w:kern w:val="2"/>
      <w:sz w:val="21"/>
      <w:szCs w:val="21"/>
    </w:rPr>
  </w:style>
  <w:style w:type="paragraph" w:customStyle="1" w:styleId="biaogeright1">
    <w:name w:val="biaoge_right1"/>
    <w:basedOn w:val="a"/>
    <w:qFormat/>
    <w:rsid w:val="009E119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9E119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dazhangjie">
    <w:name w:val="dazhangjie"/>
    <w:basedOn w:val="a"/>
    <w:qFormat/>
    <w:rsid w:val="009E119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character" w:customStyle="1" w:styleId="Char">
    <w:name w:val="批注框文本 Char"/>
    <w:link w:val="a3"/>
    <w:uiPriority w:val="99"/>
    <w:semiHidden/>
    <w:qFormat/>
    <w:rsid w:val="009E119A"/>
    <w:rPr>
      <w:kern w:val="2"/>
      <w:sz w:val="18"/>
      <w:szCs w:val="18"/>
    </w:rPr>
  </w:style>
  <w:style w:type="character" w:customStyle="1" w:styleId="Char0">
    <w:name w:val="页脚 Char"/>
    <w:link w:val="a4"/>
    <w:uiPriority w:val="99"/>
    <w:semiHidden/>
    <w:qFormat/>
    <w:locked/>
    <w:rsid w:val="009E119A"/>
    <w:rPr>
      <w:rFonts w:ascii="Times New Roman" w:hAnsi="Times New Roman" w:cs="Times New Roman" w:hint="default"/>
      <w:sz w:val="18"/>
      <w:szCs w:val="18"/>
    </w:rPr>
  </w:style>
  <w:style w:type="character" w:customStyle="1" w:styleId="Char1">
    <w:name w:val="页眉 Char"/>
    <w:link w:val="a5"/>
    <w:uiPriority w:val="99"/>
    <w:semiHidden/>
    <w:qFormat/>
    <w:locked/>
    <w:rsid w:val="009E119A"/>
    <w:rPr>
      <w:rFonts w:ascii="Times New Roman" w:hAnsi="Times New Roman" w:cs="Times New Roman" w:hint="default"/>
      <w:sz w:val="18"/>
      <w:szCs w:val="18"/>
    </w:rPr>
  </w:style>
  <w:style w:type="table" w:customStyle="1" w:styleId="dqbgxx">
    <w:name w:val="dqbgxx"/>
    <w:basedOn w:val="a1"/>
    <w:rsid w:val="009E119A"/>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rsid w:val="009E119A"/>
    <w:pPr>
      <w:widowControl/>
      <w:spacing w:line="288" w:lineRule="auto"/>
      <w:jc w:val="center"/>
    </w:pPr>
    <w:rPr>
      <w:rFonts w:eastAsia="黑体" w:cs="宋体"/>
      <w:kern w:val="0"/>
      <w:sz w:val="22"/>
      <w:szCs w:val="24"/>
    </w:rPr>
  </w:style>
  <w:style w:type="character" w:customStyle="1" w:styleId="dqbgbnwzChar">
    <w:name w:val="dqbgbnwz Char"/>
    <w:basedOn w:val="a0"/>
    <w:link w:val="dqbgbnwz"/>
    <w:qFormat/>
    <w:rsid w:val="009E119A"/>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463</Words>
  <Characters>2642</Characters>
  <Application>Microsoft Office Word</Application>
  <DocSecurity>0</DocSecurity>
  <Lines>22</Lines>
  <Paragraphs>6</Paragraphs>
  <ScaleCrop>false</ScaleCrop>
  <Company/>
  <LinksUpToDate>false</LinksUpToDate>
  <CharactersWithSpaces>3099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58</cp:revision>
  <dcterms:created xsi:type="dcterms:W3CDTF">2021-06-30T07:28:00Z</dcterms:created>
  <dcterms:modified xsi:type="dcterms:W3CDTF">2022-09-02T09:58:00Z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