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973" w:rsidRDefault="00E72973">
      <w:pPr>
        <w:pStyle w:val="dazhangjie"/>
        <w:ind w:left="0"/>
        <w:jc w:val="both"/>
        <w:rPr>
          <w:b/>
          <w:bCs/>
          <w:color w:val="000000"/>
        </w:rPr>
      </w:pPr>
    </w:p>
    <w:p w:rsidR="00E72973" w:rsidRDefault="00E72973">
      <w:pPr>
        <w:pStyle w:val="dazhangjie"/>
        <w:ind w:left="0"/>
        <w:jc w:val="both"/>
        <w:rPr>
          <w:b/>
          <w:bCs/>
          <w:color w:val="000000"/>
        </w:rPr>
      </w:pPr>
    </w:p>
    <w:p w:rsidR="00E72973" w:rsidRDefault="00E72973">
      <w:pPr>
        <w:pStyle w:val="dazhangjie"/>
        <w:ind w:left="0"/>
        <w:jc w:val="both"/>
        <w:rPr>
          <w:b/>
          <w:bCs/>
          <w:color w:val="000000"/>
        </w:rPr>
      </w:pPr>
    </w:p>
    <w:p w:rsidR="00E72973" w:rsidRDefault="00F0294F">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南银理财珠联璧合安稳1905一年定开公募人民币理财产品</w:t>
      </w:r>
    </w:p>
    <w:p w:rsidR="00E72973" w:rsidRDefault="002300F1">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985CAB">
        <w:rPr>
          <w:rFonts w:ascii="黑体" w:eastAsia="黑体" w:hAnsi="黑体" w:hint="eastAsia"/>
          <w:b/>
          <w:bCs/>
          <w:color w:val="000000"/>
          <w:sz w:val="36"/>
        </w:rPr>
        <w:t>半年</w:t>
      </w:r>
      <w:r>
        <w:rPr>
          <w:rFonts w:ascii="黑体" w:eastAsia="黑体" w:hAnsi="黑体"/>
          <w:b/>
          <w:bCs/>
          <w:color w:val="000000"/>
          <w:sz w:val="36"/>
        </w:rPr>
        <w:t>度报告</w:t>
      </w:r>
    </w:p>
    <w:p w:rsidR="00E72973" w:rsidRDefault="00E72973">
      <w:pPr>
        <w:pStyle w:val="dazhangjie"/>
        <w:spacing w:before="240" w:after="120"/>
        <w:rPr>
          <w:rFonts w:ascii="黑体" w:eastAsia="黑体" w:hAnsi="黑体"/>
          <w:b/>
          <w:bCs/>
          <w:color w:val="000000"/>
          <w:sz w:val="36"/>
        </w:rPr>
      </w:pPr>
    </w:p>
    <w:p w:rsidR="00E72973" w:rsidRDefault="00E72973">
      <w:pPr>
        <w:pStyle w:val="dazhangjie"/>
        <w:spacing w:before="240" w:after="120"/>
        <w:rPr>
          <w:rFonts w:ascii="黑体" w:eastAsia="黑体" w:hAnsi="黑体"/>
          <w:b/>
          <w:bCs/>
          <w:color w:val="000000"/>
          <w:sz w:val="36"/>
        </w:rPr>
      </w:pPr>
    </w:p>
    <w:p w:rsidR="00E72973" w:rsidRDefault="00E72973">
      <w:pPr>
        <w:pStyle w:val="dazhangjie"/>
        <w:spacing w:before="240" w:after="120"/>
        <w:rPr>
          <w:rFonts w:ascii="黑体" w:eastAsia="黑体" w:hAnsi="黑体"/>
          <w:b/>
          <w:bCs/>
          <w:color w:val="000000"/>
          <w:sz w:val="36"/>
        </w:rPr>
      </w:pPr>
    </w:p>
    <w:p w:rsidR="00E72973" w:rsidRDefault="00E72973">
      <w:pPr>
        <w:pStyle w:val="dazhangjie"/>
        <w:spacing w:before="240" w:after="120"/>
        <w:ind w:left="0"/>
        <w:jc w:val="both"/>
        <w:rPr>
          <w:rFonts w:ascii="黑体" w:eastAsia="黑体" w:hAnsi="黑体"/>
          <w:b/>
          <w:bCs/>
          <w:color w:val="000000"/>
          <w:sz w:val="36"/>
        </w:rPr>
      </w:pPr>
    </w:p>
    <w:p w:rsidR="00E72973" w:rsidRDefault="00F0294F">
      <w:pPr>
        <w:pStyle w:val="dazhangjie"/>
        <w:spacing w:before="240" w:after="120"/>
        <w:rPr>
          <w:b/>
          <w:bCs/>
          <w:color w:val="000000"/>
        </w:rPr>
      </w:pPr>
      <w:r>
        <w:rPr>
          <w:rFonts w:hint="eastAsia"/>
          <w:b/>
          <w:bCs/>
          <w:color w:val="000000"/>
        </w:rPr>
        <w:t>产品</w:t>
      </w:r>
      <w:r>
        <w:rPr>
          <w:b/>
          <w:bCs/>
          <w:color w:val="000000"/>
        </w:rPr>
        <w:t>管理人:南银理财有限责任公司</w:t>
      </w:r>
    </w:p>
    <w:p w:rsidR="00E72973" w:rsidRDefault="00F0294F">
      <w:pPr>
        <w:pStyle w:val="dazhangjie"/>
        <w:spacing w:before="240" w:after="120"/>
        <w:rPr>
          <w:b/>
          <w:bCs/>
          <w:color w:val="000000"/>
        </w:rPr>
      </w:pPr>
      <w:r>
        <w:rPr>
          <w:rFonts w:hint="eastAsia"/>
          <w:b/>
          <w:bCs/>
          <w:color w:val="000000"/>
        </w:rPr>
        <w:t>产品</w:t>
      </w:r>
      <w:r>
        <w:rPr>
          <w:b/>
          <w:bCs/>
          <w:color w:val="000000"/>
        </w:rPr>
        <w:t>托管人:南京银行股份有限公司</w:t>
      </w:r>
    </w:p>
    <w:p w:rsidR="00E72973" w:rsidRDefault="00F0294F">
      <w:pPr>
        <w:widowControl/>
        <w:jc w:val="left"/>
        <w:rPr>
          <w:b/>
          <w:bCs/>
          <w:color w:val="000000"/>
        </w:rPr>
      </w:pPr>
      <w:r>
        <w:rPr>
          <w:rFonts w:hint="eastAsia"/>
          <w:b/>
          <w:bCs/>
          <w:color w:val="000000"/>
        </w:rPr>
        <w:br w:type="page"/>
      </w:r>
    </w:p>
    <w:p w:rsidR="00E72973" w:rsidRDefault="00F0294F">
      <w:pPr>
        <w:pStyle w:val="dazhangjie"/>
        <w:rPr>
          <w:color w:val="000000"/>
        </w:rPr>
      </w:pPr>
      <w:r>
        <w:rPr>
          <w:rFonts w:hAnsi="Calibri" w:hint="eastAsia"/>
          <w:b/>
          <w:color w:val="000000"/>
        </w:rPr>
        <w:t>§1 产品概况</w:t>
      </w:r>
    </w:p>
    <w:p w:rsidR="00E72973" w:rsidRDefault="00E72973">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pPr>
            <w:r>
              <w:rPr>
                <w:rFonts w:hint="eastAsia"/>
              </w:rPr>
              <w:t>南银理财珠联璧合安稳1905一年定开公募人民币理财产品</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pPr>
            <w:r>
              <w:rPr>
                <w:rFonts w:hint="eastAsia"/>
              </w:rPr>
              <w:t>Z7003221000026（投资者可依据该编码在中国理财网www.chinawealth.com.cn查询理财产品相关信息）</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开放式净值型</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color w:val="000000"/>
              </w:rPr>
              <w:t>2019年05月09日</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2300F1">
            <w:pPr>
              <w:pStyle w:val="biaogeleft"/>
              <w:wordWrap w:val="0"/>
            </w:pPr>
            <w:r>
              <w:t>3,340,182,592.07份</w:t>
            </w:r>
          </w:p>
        </w:tc>
      </w:tr>
      <w:tr w:rsidR="00985CAB">
        <w:tc>
          <w:tcPr>
            <w:tcW w:w="2811" w:type="dxa"/>
            <w:tcBorders>
              <w:top w:val="single" w:sz="8" w:space="0" w:color="000000"/>
              <w:left w:val="single" w:sz="8" w:space="0" w:color="000000"/>
              <w:bottom w:val="single" w:sz="6" w:space="0" w:color="000000"/>
              <w:right w:val="single" w:sz="8" w:space="0" w:color="000000"/>
            </w:tcBorders>
            <w:noWrap/>
            <w:vAlign w:val="center"/>
          </w:tcPr>
          <w:p w:rsidR="00985CAB" w:rsidRDefault="00985CAB" w:rsidP="00107E38">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85CAB" w:rsidRDefault="00E67410" w:rsidP="00107E38">
            <w:pPr>
              <w:pStyle w:val="biaogeleft"/>
              <w:wordWrap w:val="0"/>
            </w:pPr>
            <w:r>
              <w:t>102.97%</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615114">
            <w:pPr>
              <w:pStyle w:val="biaogeleft"/>
              <w:wordWrap w:val="0"/>
              <w:rPr>
                <w:color w:val="000000"/>
              </w:rPr>
            </w:pPr>
            <w:r>
              <w:rPr>
                <w:rFonts w:hint="eastAsia"/>
                <w:color w:val="000000"/>
              </w:rPr>
              <w:t>-</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neirong"/>
              <w:wordWrap w:val="0"/>
              <w:rPr>
                <w:color w:val="000000"/>
              </w:rPr>
            </w:pPr>
            <w:r>
              <w:rPr>
                <w:color w:val="000000"/>
              </w:rPr>
              <w:t>南银理财有限责任公司</w:t>
            </w:r>
          </w:p>
        </w:tc>
      </w:tr>
      <w:tr w:rsidR="00E72973">
        <w:tc>
          <w:tcPr>
            <w:tcW w:w="281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left"/>
              <w:wordWrap w:val="0"/>
              <w:rPr>
                <w:color w:val="000000"/>
              </w:rPr>
            </w:pPr>
            <w:r>
              <w:rPr>
                <w:color w:val="000000"/>
              </w:rPr>
              <w:t>南京银行股份有限公司</w:t>
            </w:r>
          </w:p>
        </w:tc>
      </w:tr>
    </w:tbl>
    <w:p w:rsidR="00E72973" w:rsidRDefault="00E72973">
      <w:pPr>
        <w:widowControl/>
        <w:jc w:val="left"/>
        <w:rPr>
          <w:rFonts w:ascii="宋体" w:hAnsi="宋体" w:cs="宋体"/>
          <w:color w:val="000000"/>
          <w:kern w:val="0"/>
          <w:sz w:val="24"/>
          <w:szCs w:val="24"/>
        </w:rPr>
      </w:pPr>
    </w:p>
    <w:p w:rsidR="00E72973" w:rsidRDefault="006857F2">
      <w:pPr>
        <w:pStyle w:val="dazhangjie"/>
        <w:rPr>
          <w:color w:val="000000"/>
        </w:rPr>
      </w:pPr>
      <w:r>
        <w:rPr>
          <w:rFonts w:hAnsi="Calibri" w:hint="eastAsia"/>
          <w:b/>
          <w:color w:val="000000"/>
        </w:rPr>
        <w:t>§2  主要财务指标和产品</w:t>
      </w:r>
      <w:r>
        <w:rPr>
          <w:rFonts w:hint="eastAsia"/>
          <w:b/>
          <w:bCs/>
          <w:color w:val="000000"/>
        </w:rPr>
        <w:t>业绩比较基准</w:t>
      </w:r>
    </w:p>
    <w:p w:rsidR="00E72973" w:rsidRDefault="00F0294F">
      <w:pPr>
        <w:pStyle w:val="zhangjiep"/>
        <w:ind w:left="0"/>
        <w:rPr>
          <w:color w:val="000000"/>
        </w:rPr>
      </w:pPr>
      <w:r>
        <w:rPr>
          <w:rFonts w:hint="eastAsia"/>
          <w:b/>
          <w:bCs/>
          <w:color w:val="000000"/>
        </w:rPr>
        <w:t>2.1 主要财务指标</w:t>
      </w:r>
    </w:p>
    <w:p w:rsidR="00E72973" w:rsidRDefault="00F0294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E72973">
        <w:tc>
          <w:tcPr>
            <w:tcW w:w="4135" w:type="dxa"/>
            <w:noWrap/>
            <w:vAlign w:val="center"/>
          </w:tcPr>
          <w:p w:rsidR="00E72973" w:rsidRDefault="00F0294F">
            <w:pPr>
              <w:pStyle w:val="a6"/>
              <w:wordWrap w:val="0"/>
              <w:jc w:val="center"/>
              <w:rPr>
                <w:b/>
                <w:bCs/>
                <w:color w:val="000000"/>
              </w:rPr>
            </w:pPr>
            <w:r>
              <w:rPr>
                <w:rFonts w:hint="eastAsia"/>
                <w:b/>
                <w:bCs/>
                <w:color w:val="000000"/>
              </w:rPr>
              <w:t>主要财务指标</w:t>
            </w:r>
          </w:p>
        </w:tc>
        <w:tc>
          <w:tcPr>
            <w:tcW w:w="5187" w:type="dxa"/>
            <w:noWrap/>
          </w:tcPr>
          <w:p w:rsidR="00E72973" w:rsidRDefault="00E67410" w:rsidP="00985CAB">
            <w:pPr>
              <w:pStyle w:val="zhangjiep"/>
              <w:jc w:val="center"/>
              <w:rPr>
                <w:b/>
                <w:bCs/>
                <w:color w:val="000000"/>
              </w:rPr>
            </w:pPr>
            <w:r>
              <w:rPr>
                <w:rFonts w:hint="eastAsia"/>
              </w:rPr>
              <w:t>报告期（</w:t>
            </w:r>
            <w:r>
              <w:t>2022年01月01日-2022年06月30日)</w:t>
            </w:r>
          </w:p>
        </w:tc>
      </w:tr>
      <w:tr w:rsidR="00E72973">
        <w:tc>
          <w:tcPr>
            <w:tcW w:w="4135" w:type="dxa"/>
            <w:noWrap/>
            <w:vAlign w:val="center"/>
          </w:tcPr>
          <w:p w:rsidR="00E72973" w:rsidRDefault="00F0294F">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E72973" w:rsidRDefault="002300F1">
            <w:pPr>
              <w:pStyle w:val="biaogeright"/>
              <w:jc w:val="center"/>
              <w:rPr>
                <w:b/>
                <w:bCs/>
                <w:color w:val="000000"/>
              </w:rPr>
            </w:pPr>
            <w:r>
              <w:rPr>
                <w:color w:val="000000"/>
              </w:rPr>
              <w:t>3,351,941,041.51</w:t>
            </w:r>
          </w:p>
        </w:tc>
      </w:tr>
      <w:tr w:rsidR="00E72973">
        <w:tc>
          <w:tcPr>
            <w:tcW w:w="4135" w:type="dxa"/>
            <w:noWrap/>
            <w:vAlign w:val="center"/>
          </w:tcPr>
          <w:p w:rsidR="00E72973" w:rsidRDefault="00F0294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E72973" w:rsidRDefault="002300F1">
            <w:pPr>
              <w:pStyle w:val="biaogeright"/>
              <w:jc w:val="center"/>
              <w:rPr>
                <w:b/>
                <w:bCs/>
                <w:color w:val="000000"/>
              </w:rPr>
            </w:pPr>
            <w:r>
              <w:rPr>
                <w:color w:val="000000"/>
              </w:rPr>
              <w:t>1.0035</w:t>
            </w:r>
          </w:p>
        </w:tc>
      </w:tr>
      <w:tr w:rsidR="00E72973">
        <w:tc>
          <w:tcPr>
            <w:tcW w:w="4135" w:type="dxa"/>
            <w:noWrap/>
            <w:vAlign w:val="center"/>
          </w:tcPr>
          <w:p w:rsidR="00E72973" w:rsidRDefault="00F0294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E72973" w:rsidRDefault="002300F1">
            <w:pPr>
              <w:pStyle w:val="biaogeright"/>
              <w:jc w:val="center"/>
              <w:rPr>
                <w:b/>
                <w:bCs/>
                <w:color w:val="000000"/>
              </w:rPr>
            </w:pPr>
            <w:r>
              <w:rPr>
                <w:color w:val="000000"/>
              </w:rPr>
              <w:t>1.1489</w:t>
            </w:r>
          </w:p>
        </w:tc>
      </w:tr>
      <w:tr w:rsidR="007856C0">
        <w:tc>
          <w:tcPr>
            <w:tcW w:w="4135" w:type="dxa"/>
            <w:noWrap/>
            <w:vAlign w:val="center"/>
          </w:tcPr>
          <w:p w:rsidR="007856C0" w:rsidRDefault="007856C0" w:rsidP="00107E38">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7856C0" w:rsidRDefault="00E67410">
            <w:pPr>
              <w:pStyle w:val="biaogeright"/>
              <w:jc w:val="center"/>
              <w:rPr>
                <w:color w:val="000000"/>
              </w:rPr>
            </w:pPr>
            <w:r>
              <w:rPr>
                <w:color w:val="000000"/>
              </w:rPr>
              <w:t>33,299.17</w:t>
            </w:r>
          </w:p>
        </w:tc>
      </w:tr>
    </w:tbl>
    <w:p w:rsidR="00E72973" w:rsidRDefault="00F0294F">
      <w:pPr>
        <w:pStyle w:val="biaogeleft"/>
        <w:ind w:left="0"/>
        <w:rPr>
          <w:color w:val="000000"/>
        </w:rPr>
      </w:pPr>
      <w:r>
        <w:rPr>
          <w:rFonts w:hint="eastAsia"/>
        </w:rPr>
        <w:t>注：产品净值可能存在未扣除管理人及投资合作机构业绩报酬、赎回费等费用（如有）的情况，实际收益以兑付为准。</w:t>
      </w:r>
    </w:p>
    <w:p w:rsidR="003146EB" w:rsidRDefault="003146EB" w:rsidP="003146EB">
      <w:pPr>
        <w:pStyle w:val="biaogeleft"/>
        <w:ind w:left="0"/>
        <w:rPr>
          <w:color w:val="000000"/>
        </w:rPr>
      </w:pPr>
    </w:p>
    <w:p w:rsidR="003146EB" w:rsidRDefault="003146EB" w:rsidP="003146EB">
      <w:pPr>
        <w:pStyle w:val="zhangjiep"/>
        <w:ind w:left="0"/>
        <w:rPr>
          <w:color w:val="000000"/>
        </w:rPr>
      </w:pPr>
      <w:r>
        <w:rPr>
          <w:rFonts w:hint="eastAsia"/>
          <w:b/>
          <w:bCs/>
          <w:color w:val="000000"/>
        </w:rPr>
        <w:t>2.2 产品业绩比较基准</w:t>
      </w:r>
    </w:p>
    <w:p w:rsidR="003146EB" w:rsidRDefault="003146EB" w:rsidP="003146EB">
      <w:pPr>
        <w:pStyle w:val="zhangjiep2"/>
        <w:rPr>
          <w:b/>
          <w:bCs/>
          <w:color w:val="000000"/>
        </w:rPr>
      </w:pPr>
      <w:r>
        <w:rPr>
          <w:rFonts w:hint="eastAsia"/>
          <w:b/>
          <w:bCs/>
          <w:color w:val="000000"/>
        </w:rPr>
        <w:t>2.2.1本报告期产品业绩比较基准</w:t>
      </w:r>
    </w:p>
    <w:tbl>
      <w:tblPr>
        <w:tblW w:w="6379" w:type="dxa"/>
        <w:tblInd w:w="108" w:type="dxa"/>
        <w:tblLayout w:type="fixed"/>
        <w:tblLook w:val="04A0"/>
      </w:tblPr>
      <w:tblGrid>
        <w:gridCol w:w="4105"/>
        <w:gridCol w:w="2274"/>
      </w:tblGrid>
      <w:tr w:rsidR="003146EB" w:rsidTr="00AF7E51">
        <w:tc>
          <w:tcPr>
            <w:tcW w:w="4105" w:type="dxa"/>
            <w:tcBorders>
              <w:top w:val="single" w:sz="8" w:space="0" w:color="000000"/>
              <w:left w:val="single" w:sz="8" w:space="0" w:color="000000"/>
              <w:bottom w:val="single" w:sz="6" w:space="0" w:color="000000"/>
              <w:right w:val="single" w:sz="8" w:space="0" w:color="000000"/>
            </w:tcBorders>
            <w:vAlign w:val="center"/>
          </w:tcPr>
          <w:p w:rsidR="003146EB" w:rsidRDefault="003146EB" w:rsidP="00AF7E51">
            <w:pPr>
              <w:pStyle w:val="biaogecenter"/>
              <w:wordWrap w:val="0"/>
              <w:rPr>
                <w:color w:val="000000"/>
              </w:rPr>
            </w:pPr>
            <w:r>
              <w:rPr>
                <w:rFonts w:hAnsi="Calibri" w:hint="eastAsia"/>
                <w:color w:val="000000"/>
              </w:rPr>
              <w:t>阶段</w:t>
            </w:r>
          </w:p>
        </w:tc>
        <w:tc>
          <w:tcPr>
            <w:tcW w:w="2274" w:type="dxa"/>
            <w:tcBorders>
              <w:top w:val="single" w:sz="8" w:space="0" w:color="000000"/>
              <w:left w:val="single" w:sz="8" w:space="0" w:color="000000"/>
              <w:bottom w:val="single" w:sz="6" w:space="0" w:color="000000"/>
              <w:right w:val="single" w:sz="8" w:space="0" w:color="000000"/>
            </w:tcBorders>
            <w:vAlign w:val="center"/>
          </w:tcPr>
          <w:p w:rsidR="003146EB" w:rsidRDefault="003146EB" w:rsidP="00AF7E51">
            <w:pPr>
              <w:pStyle w:val="biaogecenter"/>
              <w:wordWrap w:val="0"/>
              <w:rPr>
                <w:color w:val="000000"/>
              </w:rPr>
            </w:pPr>
            <w:r>
              <w:rPr>
                <w:rFonts w:hAnsi="Calibri" w:hint="eastAsia"/>
                <w:color w:val="000000"/>
              </w:rPr>
              <w:t>业绩比较基准</w:t>
            </w:r>
          </w:p>
        </w:tc>
      </w:tr>
      <w:tr w:rsidR="003146EB" w:rsidTr="00AF7E51">
        <w:tc>
          <w:tcPr>
            <w:tcW w:w="4105" w:type="dxa"/>
            <w:tcBorders>
              <w:top w:val="single" w:sz="8" w:space="0" w:color="000000"/>
              <w:left w:val="single" w:sz="8" w:space="0" w:color="000000"/>
              <w:bottom w:val="single" w:sz="6" w:space="0" w:color="000000"/>
              <w:right w:val="single" w:sz="8" w:space="0" w:color="000000"/>
            </w:tcBorders>
            <w:vAlign w:val="center"/>
          </w:tcPr>
          <w:p w:rsidR="003146EB" w:rsidRDefault="003146EB" w:rsidP="00C20A3D">
            <w:pPr>
              <w:pStyle w:val="biaogeleft"/>
              <w:wordWrap w:val="0"/>
              <w:rPr>
                <w:color w:val="000000"/>
              </w:rPr>
            </w:pPr>
            <w:r w:rsidRPr="00BB004B">
              <w:rPr>
                <w:rFonts w:hint="eastAsia"/>
              </w:rPr>
              <w:t>2022年</w:t>
            </w:r>
            <w:r>
              <w:rPr>
                <w:rFonts w:hint="eastAsia"/>
              </w:rPr>
              <w:t>0</w:t>
            </w:r>
            <w:r w:rsidR="00C20A3D">
              <w:rPr>
                <w:rFonts w:hint="eastAsia"/>
              </w:rPr>
              <w:t>5</w:t>
            </w:r>
            <w:r w:rsidRPr="00BB004B">
              <w:rPr>
                <w:rFonts w:hint="eastAsia"/>
              </w:rPr>
              <w:t>月</w:t>
            </w:r>
            <w:r w:rsidR="00100FEB">
              <w:rPr>
                <w:rFonts w:hint="eastAsia"/>
              </w:rPr>
              <w:t>20</w:t>
            </w:r>
            <w:r w:rsidRPr="00BB004B">
              <w:rPr>
                <w:rFonts w:hint="eastAsia"/>
              </w:rPr>
              <w:t>日 - 2022年</w:t>
            </w:r>
            <w:r>
              <w:rPr>
                <w:rFonts w:hint="eastAsia"/>
              </w:rPr>
              <w:t>06</w:t>
            </w:r>
            <w:r w:rsidRPr="00BB004B">
              <w:rPr>
                <w:rFonts w:hint="eastAsia"/>
              </w:rPr>
              <w:t>月</w:t>
            </w:r>
            <w:r>
              <w:rPr>
                <w:rFonts w:hint="eastAsia"/>
              </w:rPr>
              <w:t>30</w:t>
            </w:r>
            <w:r w:rsidRPr="00BB004B">
              <w:rPr>
                <w:rFonts w:hint="eastAsia"/>
              </w:rPr>
              <w:t>日</w:t>
            </w:r>
          </w:p>
        </w:tc>
        <w:tc>
          <w:tcPr>
            <w:tcW w:w="2274" w:type="dxa"/>
            <w:tcBorders>
              <w:top w:val="single" w:sz="8" w:space="0" w:color="000000"/>
              <w:left w:val="single" w:sz="8" w:space="0" w:color="000000"/>
              <w:bottom w:val="single" w:sz="6" w:space="0" w:color="000000"/>
              <w:right w:val="single" w:sz="8" w:space="0" w:color="000000"/>
            </w:tcBorders>
            <w:vAlign w:val="center"/>
          </w:tcPr>
          <w:p w:rsidR="003146EB" w:rsidRDefault="00C20A3D" w:rsidP="00AF7E51">
            <w:pPr>
              <w:pStyle w:val="biaogeright"/>
              <w:wordWrap w:val="0"/>
              <w:rPr>
                <w:color w:val="000000"/>
              </w:rPr>
            </w:pPr>
            <w:r>
              <w:rPr>
                <w:rFonts w:hAnsi="Calibri" w:hint="eastAsia"/>
                <w:color w:val="000000"/>
              </w:rPr>
              <w:t>1.54</w:t>
            </w:r>
            <w:r w:rsidR="003146EB" w:rsidRPr="00BB004B">
              <w:rPr>
                <w:rFonts w:hAnsi="Calibri"/>
                <w:color w:val="000000"/>
              </w:rPr>
              <w:t>%</w:t>
            </w:r>
          </w:p>
        </w:tc>
      </w:tr>
    </w:tbl>
    <w:p w:rsidR="00E72973" w:rsidRDefault="00E72973">
      <w:pPr>
        <w:widowControl/>
        <w:jc w:val="left"/>
        <w:rPr>
          <w:rFonts w:ascii="宋体" w:hAnsi="宋体" w:cs="宋体"/>
          <w:color w:val="000000"/>
          <w:kern w:val="0"/>
          <w:sz w:val="24"/>
          <w:szCs w:val="24"/>
        </w:rPr>
      </w:pPr>
    </w:p>
    <w:p w:rsidR="00E72973" w:rsidRDefault="00F0294F">
      <w:pPr>
        <w:pStyle w:val="dazhangjie"/>
        <w:rPr>
          <w:color w:val="000000"/>
        </w:rPr>
      </w:pPr>
      <w:r>
        <w:rPr>
          <w:rFonts w:hAnsi="Calibri" w:hint="eastAsia"/>
          <w:b/>
          <w:color w:val="000000"/>
        </w:rPr>
        <w:t>§3  管理人报告</w:t>
      </w:r>
    </w:p>
    <w:p w:rsidR="00EF451D" w:rsidRDefault="00EF451D" w:rsidP="00EF451D">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EF451D" w:rsidRPr="00890DF3" w:rsidRDefault="00EF451D" w:rsidP="00EF451D">
      <w:pPr>
        <w:spacing w:line="360" w:lineRule="auto"/>
        <w:ind w:firstLineChars="200" w:firstLine="480"/>
        <w:rPr>
          <w:rFonts w:ascii="宋体" w:hAnsi="宋体"/>
          <w:color w:val="000000"/>
          <w:kern w:val="0"/>
          <w:sz w:val="24"/>
          <w:szCs w:val="24"/>
        </w:rPr>
      </w:pPr>
      <w:bookmarkStart w:id="0" w:name="_Hlk108033715"/>
      <w:r w:rsidRPr="00890DF3">
        <w:rPr>
          <w:rFonts w:ascii="宋体" w:hAnsi="宋体" w:hint="eastAsia"/>
          <w:color w:val="000000"/>
          <w:kern w:val="0"/>
          <w:sz w:val="24"/>
          <w:szCs w:val="24"/>
        </w:rPr>
        <w:t>上半年债市在国内稳增长、新冠疫情、俄乌冲突、海外通胀与美联储加息等内外部</w:t>
      </w:r>
      <w:r w:rsidRPr="00890DF3">
        <w:rPr>
          <w:rFonts w:ascii="宋体" w:hAnsi="宋体" w:hint="eastAsia"/>
          <w:color w:val="000000"/>
          <w:kern w:val="0"/>
          <w:sz w:val="24"/>
          <w:szCs w:val="24"/>
        </w:rPr>
        <w:lastRenderedPageBreak/>
        <w:t>因素扰动下处于震荡走势，收益率曲线趋于陡峭。总体来看，今年上半年</w:t>
      </w:r>
      <w:r w:rsidRPr="00890DF3">
        <w:rPr>
          <w:rFonts w:ascii="宋体" w:hAnsi="宋体"/>
          <w:color w:val="000000"/>
          <w:kern w:val="0"/>
          <w:sz w:val="24"/>
          <w:szCs w:val="24"/>
        </w:rPr>
        <w:t>10</w:t>
      </w:r>
      <w:r w:rsidRPr="00890DF3">
        <w:rPr>
          <w:rFonts w:ascii="宋体" w:hAnsi="宋体" w:hint="eastAsia"/>
          <w:color w:val="000000"/>
          <w:kern w:val="0"/>
          <w:sz w:val="24"/>
          <w:szCs w:val="24"/>
        </w:rPr>
        <w:t>年期国债收益率上行</w:t>
      </w:r>
      <w:r w:rsidRPr="00890DF3">
        <w:rPr>
          <w:rFonts w:ascii="宋体" w:hAnsi="宋体"/>
          <w:color w:val="000000"/>
          <w:kern w:val="0"/>
          <w:sz w:val="24"/>
          <w:szCs w:val="24"/>
        </w:rPr>
        <w:t>4.5bp</w:t>
      </w:r>
      <w:r w:rsidRPr="00890DF3">
        <w:rPr>
          <w:rFonts w:ascii="宋体" w:hAnsi="宋体" w:hint="eastAsia"/>
          <w:color w:val="000000"/>
          <w:kern w:val="0"/>
          <w:sz w:val="24"/>
          <w:szCs w:val="24"/>
        </w:rPr>
        <w:t>至</w:t>
      </w:r>
      <w:r w:rsidRPr="00890DF3">
        <w:rPr>
          <w:rFonts w:ascii="宋体" w:hAnsi="宋体"/>
          <w:color w:val="000000"/>
          <w:kern w:val="0"/>
          <w:sz w:val="24"/>
          <w:szCs w:val="24"/>
        </w:rPr>
        <w:t>2.82%</w:t>
      </w:r>
      <w:r w:rsidRPr="00890DF3">
        <w:rPr>
          <w:rFonts w:ascii="宋体" w:hAnsi="宋体" w:hint="eastAsia"/>
          <w:color w:val="000000"/>
          <w:kern w:val="0"/>
          <w:sz w:val="24"/>
          <w:szCs w:val="24"/>
        </w:rPr>
        <w:t>，</w:t>
      </w:r>
      <w:r w:rsidRPr="00890DF3">
        <w:rPr>
          <w:rFonts w:ascii="宋体" w:hAnsi="宋体"/>
          <w:color w:val="000000"/>
          <w:kern w:val="0"/>
          <w:sz w:val="24"/>
          <w:szCs w:val="24"/>
        </w:rPr>
        <w:t>10</w:t>
      </w:r>
      <w:r w:rsidRPr="00890DF3">
        <w:rPr>
          <w:rFonts w:ascii="宋体" w:hAnsi="宋体" w:hint="eastAsia"/>
          <w:color w:val="000000"/>
          <w:kern w:val="0"/>
          <w:sz w:val="24"/>
          <w:szCs w:val="24"/>
        </w:rPr>
        <w:t>年期国开债收益率下行</w:t>
      </w:r>
      <w:r w:rsidRPr="00890DF3">
        <w:rPr>
          <w:rFonts w:ascii="宋体" w:hAnsi="宋体"/>
          <w:color w:val="000000"/>
          <w:kern w:val="0"/>
          <w:sz w:val="24"/>
          <w:szCs w:val="24"/>
        </w:rPr>
        <w:t>3.2bp</w:t>
      </w:r>
      <w:r w:rsidRPr="00890DF3">
        <w:rPr>
          <w:rFonts w:ascii="宋体" w:hAnsi="宋体" w:hint="eastAsia"/>
          <w:color w:val="000000"/>
          <w:kern w:val="0"/>
          <w:sz w:val="24"/>
          <w:szCs w:val="24"/>
        </w:rPr>
        <w:t>至</w:t>
      </w:r>
      <w:r w:rsidRPr="00890DF3">
        <w:rPr>
          <w:rFonts w:ascii="宋体" w:hAnsi="宋体"/>
          <w:color w:val="000000"/>
          <w:kern w:val="0"/>
          <w:sz w:val="24"/>
          <w:szCs w:val="24"/>
        </w:rPr>
        <w:t>3.05%</w:t>
      </w:r>
      <w:r w:rsidRPr="00890DF3">
        <w:rPr>
          <w:rFonts w:ascii="宋体" w:hAnsi="宋体" w:hint="eastAsia"/>
          <w:color w:val="000000"/>
          <w:kern w:val="0"/>
          <w:sz w:val="24"/>
          <w:szCs w:val="24"/>
        </w:rPr>
        <w:t>，中债新综合财富指数上涨</w:t>
      </w:r>
      <w:r w:rsidRPr="00890DF3">
        <w:rPr>
          <w:rFonts w:ascii="宋体" w:hAnsi="宋体"/>
          <w:color w:val="000000"/>
          <w:kern w:val="0"/>
          <w:sz w:val="24"/>
          <w:szCs w:val="24"/>
        </w:rPr>
        <w:t>1.85%</w:t>
      </w:r>
      <w:r w:rsidRPr="00890DF3">
        <w:rPr>
          <w:rFonts w:ascii="宋体" w:hAnsi="宋体" w:hint="eastAsia"/>
          <w:color w:val="000000"/>
          <w:kern w:val="0"/>
          <w:sz w:val="24"/>
          <w:szCs w:val="24"/>
        </w:rPr>
        <w:t>。</w:t>
      </w:r>
    </w:p>
    <w:p w:rsidR="00EF451D" w:rsidRPr="00890DF3" w:rsidRDefault="00EF451D" w:rsidP="00EF451D">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EF451D" w:rsidRPr="00A10424" w:rsidRDefault="00EF451D" w:rsidP="00EF451D">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产品通过稳健的资产配置，选择性价比较优的城投信用债及非标资产作为主要底仓，适当利用杠杆增厚收益。后续将在严格控制风险的基础上，精选票息资产，同时密切跟踪市场变化，在震荡调整中把握可能的波段交易机会。</w:t>
      </w:r>
    </w:p>
    <w:p w:rsidR="00EF451D" w:rsidRDefault="00EF451D" w:rsidP="00EF451D">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425170" w:rsidRPr="00A10424" w:rsidRDefault="00EF451D" w:rsidP="00EF451D">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今年以来市场资金面相对平稳，在市场关键时点，本系列产品提前做好流动性储备，保障流动性安全。下阶段，产品将继续维持稳健的投资风格，有效管理资产负债在流动性上的匹配程度，控制产品流动性风险。</w:t>
      </w:r>
    </w:p>
    <w:p w:rsidR="00E72973" w:rsidRDefault="00F0294F">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2300F1" w:rsidRDefault="00674124">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2300F1">
        <w:rPr>
          <w:rFonts w:ascii="宋体" w:hAnsi="宋体"/>
          <w:color w:val="000000"/>
          <w:kern w:val="0"/>
          <w:sz w:val="24"/>
          <w:szCs w:val="24"/>
        </w:rPr>
        <w:t>截至报告期末,本产品份额净值为1.0035元。</w:t>
      </w:r>
    </w:p>
    <w:p w:rsidR="007856C0" w:rsidRDefault="007856C0">
      <w:pPr>
        <w:spacing w:line="360" w:lineRule="auto"/>
        <w:ind w:firstLineChars="200" w:firstLine="480"/>
        <w:rPr>
          <w:rFonts w:ascii="宋体" w:hAnsi="宋体"/>
          <w:color w:val="000000"/>
          <w:kern w:val="0"/>
          <w:sz w:val="24"/>
          <w:szCs w:val="24"/>
        </w:rPr>
      </w:pPr>
    </w:p>
    <w:p w:rsidR="007856C0" w:rsidRDefault="007856C0" w:rsidP="007856C0">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7856C0" w:rsidRPr="003A4565" w:rsidRDefault="007856C0" w:rsidP="007856C0">
      <w:pPr>
        <w:pStyle w:val="a6"/>
        <w:rPr>
          <w:b/>
        </w:rPr>
      </w:pPr>
      <w:r w:rsidRPr="003A4565">
        <w:rPr>
          <w:b/>
        </w:rPr>
        <w:t>4.1</w:t>
      </w:r>
      <w:r w:rsidRPr="003A4565">
        <w:rPr>
          <w:rFonts w:hint="eastAsia"/>
          <w:b/>
        </w:rPr>
        <w:t>报告期内托管人遵规守信情况声明</w:t>
      </w:r>
    </w:p>
    <w:p w:rsidR="007856C0" w:rsidRPr="00EC5BB5" w:rsidRDefault="007856C0" w:rsidP="007856C0">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7856C0" w:rsidRPr="003A4565" w:rsidRDefault="007856C0" w:rsidP="007856C0">
      <w:pPr>
        <w:pStyle w:val="a6"/>
        <w:rPr>
          <w:b/>
        </w:rPr>
      </w:pPr>
      <w:r w:rsidRPr="003A4565">
        <w:rPr>
          <w:b/>
        </w:rPr>
        <w:t xml:space="preserve">4.2 </w:t>
      </w:r>
      <w:r w:rsidRPr="003A4565">
        <w:rPr>
          <w:rFonts w:hint="eastAsia"/>
          <w:b/>
        </w:rPr>
        <w:t>托管人对报告期内投资运作遵规守信、净值计算、利润分配等情况的说明</w:t>
      </w:r>
    </w:p>
    <w:p w:rsidR="007856C0" w:rsidRPr="003A4565" w:rsidRDefault="007856C0" w:rsidP="007856C0">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BE501B"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w:t>
      </w:r>
      <w:r w:rsidRPr="003A4565">
        <w:rPr>
          <w:rFonts w:ascii="宋体" w:hAnsi="宋体"/>
          <w:color w:val="000000"/>
          <w:kern w:val="0"/>
          <w:sz w:val="24"/>
          <w:szCs w:val="24"/>
        </w:rPr>
        <w:lastRenderedPageBreak/>
        <w:t>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856C0" w:rsidRDefault="007856C0" w:rsidP="007856C0">
      <w:pPr>
        <w:pStyle w:val="a6"/>
        <w:rPr>
          <w:b/>
          <w:color w:val="000000"/>
        </w:rPr>
      </w:pPr>
      <w:r>
        <w:rPr>
          <w:b/>
          <w:color w:val="000000"/>
        </w:rPr>
        <w:t xml:space="preserve">4.3 </w:t>
      </w:r>
      <w:r>
        <w:rPr>
          <w:rFonts w:hint="eastAsia"/>
          <w:b/>
          <w:color w:val="000000"/>
        </w:rPr>
        <w:t>托管人对本</w:t>
      </w:r>
      <w:r w:rsidR="0026335B">
        <w:rPr>
          <w:rFonts w:hint="eastAsia"/>
          <w:b/>
          <w:color w:val="000000"/>
        </w:rPr>
        <w:t>半</w:t>
      </w:r>
      <w:r>
        <w:rPr>
          <w:rFonts w:hint="eastAsia"/>
          <w:b/>
          <w:color w:val="000000"/>
        </w:rPr>
        <w:t>年度报告中财务信息等内容的真实、准确和完整发表意见</w:t>
      </w:r>
    </w:p>
    <w:p w:rsidR="00E72973" w:rsidRPr="007856C0" w:rsidRDefault="007856C0" w:rsidP="007856C0">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E72973" w:rsidRDefault="00F0294F">
      <w:pPr>
        <w:pStyle w:val="dazhangjie"/>
        <w:rPr>
          <w:color w:val="000000"/>
        </w:rPr>
      </w:pPr>
      <w:r>
        <w:rPr>
          <w:rFonts w:hAnsi="Calibri" w:hint="eastAsia"/>
          <w:b/>
          <w:color w:val="000000"/>
        </w:rPr>
        <w:t>§</w:t>
      </w:r>
      <w:r w:rsidR="007856C0">
        <w:rPr>
          <w:rFonts w:hAnsi="Calibri" w:hint="eastAsia"/>
          <w:b/>
          <w:color w:val="000000"/>
        </w:rPr>
        <w:t>5</w:t>
      </w:r>
      <w:r>
        <w:rPr>
          <w:rFonts w:hAnsi="Calibri" w:hint="eastAsia"/>
          <w:b/>
          <w:color w:val="000000"/>
        </w:rPr>
        <w:t xml:space="preserve">  投资组合报告</w:t>
      </w:r>
    </w:p>
    <w:p w:rsidR="00E72973" w:rsidRDefault="007856C0">
      <w:pPr>
        <w:pStyle w:val="zhangjiep"/>
        <w:ind w:left="0"/>
      </w:pPr>
      <w:r>
        <w:rPr>
          <w:rFonts w:hint="eastAsia"/>
          <w:b/>
          <w:bCs/>
        </w:rPr>
        <w:t>5</w:t>
      </w:r>
      <w:r w:rsidR="00F0294F">
        <w:rPr>
          <w:rFonts w:hint="eastAsia"/>
          <w:b/>
          <w:bCs/>
        </w:rPr>
        <w:t>.1 报告期末产品资产组合情况</w:t>
      </w:r>
    </w:p>
    <w:tbl>
      <w:tblPr>
        <w:tblW w:w="0" w:type="auto"/>
        <w:tblInd w:w="108" w:type="dxa"/>
        <w:tblLayout w:type="fixed"/>
        <w:tblLook w:val="04A0"/>
      </w:tblPr>
      <w:tblGrid>
        <w:gridCol w:w="891"/>
        <w:gridCol w:w="2795"/>
        <w:gridCol w:w="2850"/>
        <w:gridCol w:w="2395"/>
      </w:tblGrid>
      <w:tr w:rsidR="00E72973">
        <w:tc>
          <w:tcPr>
            <w:tcW w:w="891" w:type="dxa"/>
            <w:tcBorders>
              <w:top w:val="single" w:sz="8" w:space="0" w:color="000000"/>
              <w:left w:val="single" w:sz="8" w:space="0" w:color="000000"/>
              <w:bottom w:val="single" w:sz="8" w:space="0" w:color="000000"/>
              <w:right w:val="single" w:sz="8" w:space="0" w:color="000000"/>
            </w:tcBorders>
            <w:noWrap/>
            <w:vAlign w:val="bottom"/>
          </w:tcPr>
          <w:p w:rsidR="00E72973" w:rsidRDefault="00F0294F">
            <w:pPr>
              <w:pStyle w:val="biaogecenter"/>
              <w:rPr>
                <w:color w:val="000000"/>
              </w:rPr>
            </w:pPr>
            <w:r>
              <w:rPr>
                <w:rFonts w:hint="eastAsia"/>
                <w:color w:val="000000"/>
              </w:rPr>
              <w:t>序号</w:t>
            </w:r>
          </w:p>
        </w:tc>
        <w:tc>
          <w:tcPr>
            <w:tcW w:w="2795" w:type="dxa"/>
            <w:tcBorders>
              <w:top w:val="single" w:sz="8" w:space="0" w:color="000000"/>
              <w:left w:val="single" w:sz="8" w:space="0" w:color="000000"/>
              <w:bottom w:val="single" w:sz="8" w:space="0" w:color="000000"/>
              <w:right w:val="single" w:sz="8" w:space="0" w:color="000000"/>
            </w:tcBorders>
            <w:noWrap/>
            <w:vAlign w:val="bottom"/>
          </w:tcPr>
          <w:p w:rsidR="00E72973" w:rsidRDefault="00F0294F">
            <w:pPr>
              <w:pStyle w:val="biaogecenter"/>
              <w:rPr>
                <w:color w:val="000000"/>
              </w:rPr>
            </w:pPr>
            <w:r>
              <w:rPr>
                <w:rFonts w:hint="eastAsia"/>
                <w:color w:val="000000"/>
              </w:rPr>
              <w:t>资产类别</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rPr>
                <w:color w:val="000000"/>
              </w:rPr>
            </w:pPr>
            <w:r>
              <w:rPr>
                <w:rFonts w:hint="eastAsia"/>
                <w:color w:val="000000"/>
              </w:rPr>
              <w:t>穿透后占总资产比例</w:t>
            </w:r>
          </w:p>
        </w:tc>
      </w:tr>
      <w:tr w:rsidR="00880C1A">
        <w:tc>
          <w:tcPr>
            <w:tcW w:w="891" w:type="dxa"/>
            <w:tcBorders>
              <w:top w:val="single" w:sz="8" w:space="0" w:color="000000"/>
              <w:left w:val="single" w:sz="8" w:space="0" w:color="000000"/>
              <w:bottom w:val="single" w:sz="8" w:space="0" w:color="000000"/>
              <w:right w:val="single" w:sz="8" w:space="0" w:color="000000"/>
            </w:tcBorders>
            <w:noWrap/>
            <w:vAlign w:val="bottom"/>
          </w:tcPr>
          <w:p w:rsidR="00880C1A" w:rsidRDefault="00880C1A">
            <w:pPr>
              <w:pStyle w:val="biaogecenter"/>
              <w:rPr>
                <w:color w:val="000000"/>
              </w:rPr>
            </w:pPr>
            <w:r>
              <w:rPr>
                <w:rFonts w:hint="eastAsia"/>
                <w:color w:val="000000"/>
              </w:rPr>
              <w:t>1</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固定收益类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100.00%</w:t>
            </w:r>
          </w:p>
        </w:tc>
      </w:tr>
      <w:tr w:rsidR="00880C1A">
        <w:tc>
          <w:tcPr>
            <w:tcW w:w="891" w:type="dxa"/>
            <w:tcBorders>
              <w:top w:val="single" w:sz="8" w:space="0" w:color="000000"/>
              <w:left w:val="single" w:sz="8" w:space="0" w:color="000000"/>
              <w:bottom w:val="single" w:sz="8" w:space="0" w:color="000000"/>
              <w:right w:val="single" w:sz="8" w:space="0" w:color="000000"/>
            </w:tcBorders>
            <w:noWrap/>
            <w:vAlign w:val="bottom"/>
          </w:tcPr>
          <w:p w:rsidR="00880C1A" w:rsidRDefault="00880C1A">
            <w:pPr>
              <w:pStyle w:val="biaogecenter"/>
              <w:rPr>
                <w:color w:val="000000"/>
              </w:rPr>
            </w:pPr>
            <w:r>
              <w:rPr>
                <w:rFonts w:hint="eastAsia"/>
                <w:color w:val="000000"/>
              </w:rPr>
              <w:t>2</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权益类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0.00%</w:t>
            </w:r>
          </w:p>
        </w:tc>
      </w:tr>
      <w:tr w:rsidR="00880C1A">
        <w:tc>
          <w:tcPr>
            <w:tcW w:w="891" w:type="dxa"/>
            <w:tcBorders>
              <w:top w:val="single" w:sz="8" w:space="0" w:color="000000"/>
              <w:left w:val="single" w:sz="8" w:space="0" w:color="000000"/>
              <w:bottom w:val="single" w:sz="8" w:space="0" w:color="000000"/>
              <w:right w:val="single" w:sz="8" w:space="0" w:color="000000"/>
            </w:tcBorders>
            <w:noWrap/>
            <w:vAlign w:val="bottom"/>
          </w:tcPr>
          <w:p w:rsidR="00880C1A" w:rsidRDefault="00880C1A">
            <w:pPr>
              <w:pStyle w:val="biaogecenter"/>
              <w:rPr>
                <w:color w:val="000000"/>
              </w:rPr>
            </w:pPr>
            <w:r>
              <w:rPr>
                <w:rFonts w:hint="eastAsia"/>
                <w:color w:val="000000"/>
              </w:rPr>
              <w:t>3</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商品及金融衍生品类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0.00%</w:t>
            </w:r>
          </w:p>
        </w:tc>
      </w:tr>
      <w:tr w:rsidR="00880C1A">
        <w:tc>
          <w:tcPr>
            <w:tcW w:w="891" w:type="dxa"/>
            <w:tcBorders>
              <w:top w:val="single" w:sz="8" w:space="0" w:color="000000"/>
              <w:left w:val="single" w:sz="8" w:space="0" w:color="000000"/>
              <w:bottom w:val="single" w:sz="8" w:space="0" w:color="000000"/>
              <w:right w:val="single" w:sz="8" w:space="0" w:color="000000"/>
            </w:tcBorders>
            <w:noWrap/>
            <w:vAlign w:val="bottom"/>
          </w:tcPr>
          <w:p w:rsidR="00880C1A" w:rsidRDefault="00880C1A">
            <w:pPr>
              <w:pStyle w:val="biaogecenter"/>
              <w:rPr>
                <w:color w:val="000000"/>
              </w:rPr>
            </w:pPr>
            <w:r>
              <w:rPr>
                <w:rFonts w:hint="eastAsia"/>
                <w:color w:val="000000"/>
              </w:rPr>
              <w:t>4</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混合类</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0.00%</w:t>
            </w:r>
          </w:p>
        </w:tc>
      </w:tr>
      <w:tr w:rsidR="00880C1A">
        <w:tc>
          <w:tcPr>
            <w:tcW w:w="891" w:type="dxa"/>
            <w:tcBorders>
              <w:top w:val="single" w:sz="8" w:space="0" w:color="000000"/>
              <w:left w:val="single" w:sz="8" w:space="0" w:color="000000"/>
              <w:bottom w:val="single" w:sz="8" w:space="0" w:color="000000"/>
              <w:right w:val="single" w:sz="8" w:space="0" w:color="000000"/>
            </w:tcBorders>
            <w:noWrap/>
            <w:vAlign w:val="bottom"/>
          </w:tcPr>
          <w:p w:rsidR="00880C1A" w:rsidRDefault="00880C1A">
            <w:pPr>
              <w:pStyle w:val="biaogecenter"/>
              <w:rPr>
                <w:color w:val="000000"/>
              </w:rPr>
            </w:pPr>
            <w:r>
              <w:rPr>
                <w:rFonts w:hint="eastAsia"/>
                <w:color w:val="000000"/>
              </w:rPr>
              <w:t>5</w:t>
            </w: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合计</w:t>
            </w:r>
          </w:p>
        </w:tc>
        <w:tc>
          <w:tcPr>
            <w:tcW w:w="2850"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880C1A" w:rsidRPr="00191403" w:rsidRDefault="00880C1A" w:rsidP="003F5546">
            <w:pPr>
              <w:pStyle w:val="biaogecenter"/>
              <w:rPr>
                <w:color w:val="000000"/>
              </w:rPr>
            </w:pPr>
            <w:r w:rsidRPr="00191403">
              <w:rPr>
                <w:rFonts w:hint="eastAsia"/>
                <w:color w:val="000000"/>
              </w:rPr>
              <w:t>100.00%</w:t>
            </w:r>
          </w:p>
        </w:tc>
      </w:tr>
    </w:tbl>
    <w:p w:rsidR="00E72973" w:rsidRDefault="00E72973">
      <w:pPr>
        <w:widowControl/>
        <w:jc w:val="left"/>
        <w:rPr>
          <w:rFonts w:ascii="宋体" w:hAnsi="宋体" w:cs="宋体"/>
          <w:color w:val="000000"/>
          <w:kern w:val="0"/>
          <w:sz w:val="24"/>
          <w:szCs w:val="24"/>
        </w:rPr>
      </w:pPr>
      <w:bookmarkStart w:id="1" w:name="_GoBack"/>
      <w:bookmarkEnd w:id="1"/>
    </w:p>
    <w:p w:rsidR="00E72973" w:rsidRDefault="007856C0">
      <w:pPr>
        <w:pStyle w:val="zhangjiep"/>
        <w:rPr>
          <w:b/>
          <w:bCs/>
          <w:color w:val="000000"/>
        </w:rPr>
      </w:pPr>
      <w:r>
        <w:rPr>
          <w:rFonts w:hint="eastAsia"/>
          <w:b/>
          <w:bCs/>
          <w:color w:val="000000"/>
        </w:rPr>
        <w:t>5</w:t>
      </w:r>
      <w:r w:rsidR="00F0294F">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E72973">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E72973" w:rsidRDefault="00F0294F">
            <w:pPr>
              <w:pStyle w:val="biaogecenter"/>
              <w:wordWrap w:val="0"/>
              <w:rPr>
                <w:color w:val="000000"/>
              </w:rPr>
            </w:pPr>
            <w:r>
              <w:rPr>
                <w:rFonts w:hint="eastAsia"/>
                <w:color w:val="000000"/>
              </w:rPr>
              <w:t>占产品资产净值比例（％）</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22088732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22溧水城建01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300,105,873.09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8.95</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22088683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22宜兴城发03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299,852,599.71</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8.95</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22088626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22江苏新海连02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199,988,182.10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5.97</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22088657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22如东东泰02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99,956,379.28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2.98</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22088682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22陶都城发01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99,950,576.19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2.98</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167647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20龙海01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69,341,234.51</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2.07</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167606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20如东01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60,000,489.08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1.79</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032000047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20苏漕湖PPN001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50,689,350.00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1.51</w:t>
            </w:r>
          </w:p>
        </w:tc>
      </w:tr>
      <w:tr w:rsidR="0026644D">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102000502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20高淳国资MTN001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50,634,750.00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1.51</w:t>
            </w:r>
          </w:p>
        </w:tc>
      </w:tr>
      <w:tr w:rsidR="0026644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6644D" w:rsidRDefault="0026644D">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6644D" w:rsidRPr="0026644D" w:rsidRDefault="0026644D" w:rsidP="0026644D">
            <w:pPr>
              <w:pStyle w:val="biaogecenter"/>
              <w:wordWrap w:val="0"/>
              <w:rPr>
                <w:color w:val="000000"/>
              </w:rPr>
            </w:pPr>
            <w:r w:rsidRPr="0026644D">
              <w:rPr>
                <w:rFonts w:hint="eastAsia"/>
                <w:color w:val="000000"/>
              </w:rPr>
              <w:t>032000390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20浦口城乡PPN002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50,482,550.00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6644D" w:rsidRPr="0026644D" w:rsidRDefault="0026644D" w:rsidP="0026644D">
            <w:pPr>
              <w:pStyle w:val="biaogecenter"/>
              <w:wordWrap w:val="0"/>
              <w:rPr>
                <w:color w:val="000000"/>
              </w:rPr>
            </w:pPr>
            <w:r w:rsidRPr="0026644D">
              <w:rPr>
                <w:rFonts w:hint="eastAsia"/>
                <w:color w:val="000000"/>
              </w:rPr>
              <w:t>1.51</w:t>
            </w:r>
          </w:p>
        </w:tc>
      </w:tr>
    </w:tbl>
    <w:p w:rsidR="00E72973" w:rsidRDefault="00E72973">
      <w:pPr>
        <w:widowControl/>
        <w:jc w:val="left"/>
        <w:rPr>
          <w:rFonts w:ascii="宋体" w:hAnsi="宋体" w:cs="宋体"/>
          <w:b/>
          <w:sz w:val="24"/>
          <w:szCs w:val="24"/>
          <w:shd w:val="clear" w:color="auto" w:fill="FFFFFF"/>
        </w:rPr>
      </w:pPr>
    </w:p>
    <w:p w:rsidR="00E72973" w:rsidRDefault="007856C0">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F0294F">
        <w:rPr>
          <w:rFonts w:ascii="宋体" w:hAnsi="宋体" w:cs="宋体" w:hint="eastAsia"/>
          <w:b/>
          <w:sz w:val="24"/>
          <w:szCs w:val="24"/>
          <w:shd w:val="clear" w:color="auto" w:fill="FFFFFF"/>
        </w:rPr>
        <w:t>.3报告期末非标准化债权类资产明细</w:t>
      </w:r>
    </w:p>
    <w:p w:rsidR="00E72973" w:rsidRDefault="00E72973">
      <w:pPr>
        <w:widowControl/>
        <w:jc w:val="left"/>
        <w:rPr>
          <w:b/>
          <w:shd w:val="clear" w:color="auto" w:fill="FFFFFF"/>
        </w:rPr>
      </w:pPr>
    </w:p>
    <w:tbl>
      <w:tblPr>
        <w:tblW w:w="0" w:type="auto"/>
        <w:tblInd w:w="108" w:type="dxa"/>
        <w:tblLayout w:type="fixed"/>
        <w:tblLook w:val="04A0"/>
      </w:tblPr>
      <w:tblGrid>
        <w:gridCol w:w="485"/>
        <w:gridCol w:w="2492"/>
        <w:gridCol w:w="1276"/>
        <w:gridCol w:w="1276"/>
        <w:gridCol w:w="1275"/>
        <w:gridCol w:w="1276"/>
        <w:gridCol w:w="851"/>
      </w:tblGrid>
      <w:tr w:rsidR="00E72973" w:rsidTr="002A52FA">
        <w:tc>
          <w:tcPr>
            <w:tcW w:w="485"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lastRenderedPageBreak/>
              <w:t>序号</w:t>
            </w:r>
          </w:p>
        </w:tc>
        <w:tc>
          <w:tcPr>
            <w:tcW w:w="2492"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融资客户</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t>项目名称</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剩余融资期限</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风险状况</w:t>
            </w:r>
          </w:p>
        </w:tc>
      </w:tr>
      <w:tr w:rsidR="00CA6198" w:rsidTr="002A52FA">
        <w:tc>
          <w:tcPr>
            <w:tcW w:w="485" w:type="dxa"/>
            <w:tcBorders>
              <w:top w:val="single" w:sz="8" w:space="0" w:color="000000"/>
              <w:left w:val="single" w:sz="8" w:space="0" w:color="000000"/>
              <w:bottom w:val="single" w:sz="8" w:space="0" w:color="000000"/>
              <w:right w:val="single" w:sz="8" w:space="0" w:color="000000"/>
            </w:tcBorders>
            <w:noWrap/>
            <w:vAlign w:val="center"/>
          </w:tcPr>
          <w:p w:rsidR="00CA6198" w:rsidRDefault="00CA6198">
            <w:pPr>
              <w:pStyle w:val="biaogecenter"/>
              <w:rPr>
                <w:rFonts w:hAnsi="Calibri"/>
                <w:shd w:val="clear" w:color="auto" w:fill="FFFFFF"/>
              </w:rPr>
            </w:pPr>
            <w:r>
              <w:rPr>
                <w:rFonts w:hAnsi="Calibri" w:hint="eastAsia"/>
                <w:shd w:val="clear" w:color="auto" w:fill="FFFFFF"/>
              </w:rPr>
              <w:t>1</w:t>
            </w:r>
          </w:p>
        </w:tc>
        <w:tc>
          <w:tcPr>
            <w:tcW w:w="2492"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江苏新海连发展集团有限公司</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22江苏新海连02</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328天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w:t>
            </w:r>
          </w:p>
        </w:tc>
      </w:tr>
      <w:tr w:rsidR="00CA6198" w:rsidTr="002A52FA">
        <w:tc>
          <w:tcPr>
            <w:tcW w:w="485" w:type="dxa"/>
            <w:tcBorders>
              <w:top w:val="single" w:sz="8" w:space="0" w:color="000000"/>
              <w:left w:val="single" w:sz="8" w:space="0" w:color="000000"/>
              <w:bottom w:val="single" w:sz="8" w:space="0" w:color="000000"/>
              <w:right w:val="single" w:sz="8" w:space="0" w:color="000000"/>
            </w:tcBorders>
            <w:noWrap/>
            <w:vAlign w:val="center"/>
          </w:tcPr>
          <w:p w:rsidR="00CA6198" w:rsidRDefault="00CA6198">
            <w:pPr>
              <w:pStyle w:val="biaogecenter"/>
              <w:rPr>
                <w:rFonts w:hAnsi="Calibri"/>
                <w:shd w:val="clear" w:color="auto" w:fill="FFFFFF"/>
              </w:rPr>
            </w:pPr>
            <w:r>
              <w:rPr>
                <w:rFonts w:hAnsi="Calibri" w:hint="eastAsia"/>
                <w:shd w:val="clear" w:color="auto" w:fill="FFFFFF"/>
              </w:rPr>
              <w:t>2</w:t>
            </w:r>
          </w:p>
        </w:tc>
        <w:tc>
          <w:tcPr>
            <w:tcW w:w="2492"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南京溧水城市建设集团有限公司</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22溧水城建01</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168天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w:t>
            </w:r>
          </w:p>
        </w:tc>
      </w:tr>
      <w:tr w:rsidR="00CA6198" w:rsidTr="002A52FA">
        <w:tc>
          <w:tcPr>
            <w:tcW w:w="485" w:type="dxa"/>
            <w:tcBorders>
              <w:top w:val="single" w:sz="8" w:space="0" w:color="000000"/>
              <w:left w:val="single" w:sz="8" w:space="0" w:color="000000"/>
              <w:bottom w:val="single" w:sz="8" w:space="0" w:color="000000"/>
              <w:right w:val="single" w:sz="8" w:space="0" w:color="000000"/>
            </w:tcBorders>
            <w:noWrap/>
            <w:vAlign w:val="center"/>
          </w:tcPr>
          <w:p w:rsidR="00CA6198" w:rsidRDefault="00CA6198">
            <w:pPr>
              <w:pStyle w:val="biaogecenter"/>
              <w:rPr>
                <w:rFonts w:hAnsi="Calibri"/>
                <w:shd w:val="clear" w:color="auto" w:fill="FFFFFF"/>
              </w:rPr>
            </w:pPr>
            <w:r>
              <w:rPr>
                <w:rFonts w:hAnsi="Calibri" w:hint="eastAsia"/>
                <w:shd w:val="clear" w:color="auto" w:fill="FFFFFF"/>
              </w:rPr>
              <w:t>3</w:t>
            </w:r>
          </w:p>
        </w:tc>
        <w:tc>
          <w:tcPr>
            <w:tcW w:w="2492"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如东县东泰社会发展投资有限责任公司</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22如东东泰02</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330天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w:t>
            </w:r>
          </w:p>
        </w:tc>
      </w:tr>
      <w:tr w:rsidR="00CA6198" w:rsidTr="002A52FA">
        <w:tc>
          <w:tcPr>
            <w:tcW w:w="485" w:type="dxa"/>
            <w:tcBorders>
              <w:top w:val="single" w:sz="8" w:space="0" w:color="000000"/>
              <w:left w:val="single" w:sz="8" w:space="0" w:color="000000"/>
              <w:bottom w:val="single" w:sz="8" w:space="0" w:color="000000"/>
              <w:right w:val="single" w:sz="8" w:space="0" w:color="000000"/>
            </w:tcBorders>
            <w:noWrap/>
            <w:vAlign w:val="center"/>
          </w:tcPr>
          <w:p w:rsidR="00CA6198" w:rsidRDefault="00CA6198">
            <w:pPr>
              <w:pStyle w:val="biaogecenter"/>
              <w:rPr>
                <w:rFonts w:hAnsi="Calibri"/>
                <w:shd w:val="clear" w:color="auto" w:fill="FFFFFF"/>
              </w:rPr>
            </w:pPr>
            <w:r>
              <w:rPr>
                <w:rFonts w:hAnsi="Calibri" w:hint="eastAsia"/>
                <w:shd w:val="clear" w:color="auto" w:fill="FFFFFF"/>
              </w:rPr>
              <w:t>4</w:t>
            </w:r>
          </w:p>
        </w:tc>
        <w:tc>
          <w:tcPr>
            <w:tcW w:w="2492"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江苏陶都城市发展投资有限公司</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22陶都城发01</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333天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w:t>
            </w:r>
          </w:p>
        </w:tc>
      </w:tr>
      <w:tr w:rsidR="00CA6198" w:rsidTr="002A52FA">
        <w:tc>
          <w:tcPr>
            <w:tcW w:w="485" w:type="dxa"/>
            <w:tcBorders>
              <w:top w:val="single" w:sz="8" w:space="0" w:color="000000"/>
              <w:left w:val="single" w:sz="8" w:space="0" w:color="000000"/>
              <w:bottom w:val="single" w:sz="8" w:space="0" w:color="000000"/>
              <w:right w:val="single" w:sz="8" w:space="0" w:color="000000"/>
            </w:tcBorders>
            <w:noWrap/>
            <w:vAlign w:val="center"/>
          </w:tcPr>
          <w:p w:rsidR="00CA6198" w:rsidRDefault="00CA6198">
            <w:pPr>
              <w:pStyle w:val="biaogecenter"/>
              <w:rPr>
                <w:rFonts w:hAnsi="Calibri"/>
                <w:shd w:val="clear" w:color="auto" w:fill="FFFFFF"/>
              </w:rPr>
            </w:pPr>
            <w:r>
              <w:rPr>
                <w:rFonts w:hAnsi="Calibri" w:hint="eastAsia"/>
                <w:shd w:val="clear" w:color="auto" w:fill="FFFFFF"/>
              </w:rPr>
              <w:t>5</w:t>
            </w:r>
          </w:p>
        </w:tc>
        <w:tc>
          <w:tcPr>
            <w:tcW w:w="2492"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宜兴市城市发展投资有限公司</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22宜兴城发03</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333天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w:t>
            </w:r>
          </w:p>
        </w:tc>
      </w:tr>
      <w:tr w:rsidR="00CA6198" w:rsidTr="002A52FA">
        <w:tc>
          <w:tcPr>
            <w:tcW w:w="485" w:type="dxa"/>
            <w:tcBorders>
              <w:top w:val="single" w:sz="8" w:space="0" w:color="000000"/>
              <w:left w:val="single" w:sz="8" w:space="0" w:color="000000"/>
              <w:bottom w:val="single" w:sz="8" w:space="0" w:color="000000"/>
              <w:right w:val="single" w:sz="8" w:space="0" w:color="000000"/>
            </w:tcBorders>
            <w:noWrap/>
            <w:vAlign w:val="center"/>
          </w:tcPr>
          <w:p w:rsidR="00CA6198" w:rsidRDefault="00CA6198">
            <w:pPr>
              <w:pStyle w:val="biaogecenter"/>
              <w:rPr>
                <w:rFonts w:hAnsi="Calibri"/>
                <w:shd w:val="clear" w:color="auto" w:fill="FFFFFF"/>
              </w:rPr>
            </w:pPr>
            <w:r>
              <w:rPr>
                <w:rFonts w:hAnsi="Calibri" w:hint="eastAsia"/>
                <w:shd w:val="clear" w:color="auto" w:fill="FFFFFF"/>
              </w:rPr>
              <w:t>6</w:t>
            </w:r>
          </w:p>
        </w:tc>
        <w:tc>
          <w:tcPr>
            <w:tcW w:w="2492"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镇江城市建设产业集团有限公司</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22镇江城建02</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333天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6198" w:rsidRPr="00CA6198" w:rsidRDefault="00CA6198" w:rsidP="00CA6198">
            <w:pPr>
              <w:pStyle w:val="biaogecenter"/>
              <w:wordWrap w:val="0"/>
              <w:rPr>
                <w:shd w:val="clear" w:color="auto" w:fill="FFFFFF"/>
              </w:rPr>
            </w:pPr>
            <w:r w:rsidRPr="00CA6198">
              <w:rPr>
                <w:rFonts w:hint="eastAsia"/>
                <w:shd w:val="clear" w:color="auto" w:fill="FFFFFF"/>
              </w:rPr>
              <w:t>-</w:t>
            </w:r>
          </w:p>
        </w:tc>
      </w:tr>
    </w:tbl>
    <w:p w:rsidR="00E72973" w:rsidRDefault="00F0294F">
      <w:pPr>
        <w:pStyle w:val="dazhangjie"/>
        <w:rPr>
          <w:b/>
          <w:bCs/>
          <w:color w:val="000000"/>
        </w:rPr>
      </w:pPr>
      <w:r>
        <w:rPr>
          <w:rFonts w:hint="eastAsia"/>
          <w:b/>
          <w:bCs/>
          <w:color w:val="000000"/>
        </w:rPr>
        <w:t>§</w:t>
      </w:r>
      <w:r w:rsidR="007856C0">
        <w:rPr>
          <w:rFonts w:hint="eastAsia"/>
          <w:b/>
          <w:bCs/>
          <w:color w:val="000000"/>
        </w:rPr>
        <w:t>6</w:t>
      </w:r>
      <w:r>
        <w:rPr>
          <w:rFonts w:hint="eastAsia"/>
          <w:b/>
          <w:bCs/>
          <w:color w:val="000000"/>
        </w:rPr>
        <w:t xml:space="preserve"> 投资账户信息</w:t>
      </w:r>
    </w:p>
    <w:tbl>
      <w:tblPr>
        <w:tblW w:w="4939" w:type="pct"/>
        <w:tblInd w:w="109" w:type="dxa"/>
        <w:tblLook w:val="04A0"/>
      </w:tblPr>
      <w:tblGrid>
        <w:gridCol w:w="711"/>
        <w:gridCol w:w="1316"/>
        <w:gridCol w:w="2388"/>
        <w:gridCol w:w="3460"/>
        <w:gridCol w:w="1317"/>
      </w:tblGrid>
      <w:tr w:rsidR="00E72973">
        <w:trPr>
          <w:trHeight w:val="705"/>
        </w:trPr>
        <w:tc>
          <w:tcPr>
            <w:tcW w:w="370"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rPr>
                <w:shd w:val="clear" w:color="auto" w:fill="FFFFFF"/>
              </w:rPr>
            </w:pPr>
            <w:r>
              <w:rPr>
                <w:rFonts w:hAnsi="Calibri" w:hint="eastAsia"/>
                <w:shd w:val="clear" w:color="auto" w:fill="FFFFFF"/>
              </w:rPr>
              <w:t>序号</w:t>
            </w:r>
          </w:p>
        </w:tc>
        <w:tc>
          <w:tcPr>
            <w:tcW w:w="720"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账户类型</w:t>
            </w:r>
          </w:p>
        </w:tc>
        <w:tc>
          <w:tcPr>
            <w:tcW w:w="1302"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t>账号</w:t>
            </w:r>
          </w:p>
        </w:tc>
        <w:tc>
          <w:tcPr>
            <w:tcW w:w="1885"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账户名称</w:t>
            </w:r>
          </w:p>
        </w:tc>
        <w:tc>
          <w:tcPr>
            <w:tcW w:w="720" w:type="pct"/>
            <w:tcBorders>
              <w:top w:val="single" w:sz="8" w:space="0" w:color="000000"/>
              <w:left w:val="single" w:sz="8" w:space="0" w:color="000000"/>
              <w:bottom w:val="single" w:sz="6" w:space="0" w:color="000000"/>
              <w:right w:val="single" w:sz="8" w:space="0" w:color="000000"/>
            </w:tcBorders>
            <w:noWrap/>
            <w:vAlign w:val="center"/>
          </w:tcPr>
          <w:p w:rsidR="00E72973" w:rsidRDefault="00F0294F">
            <w:pPr>
              <w:pStyle w:val="biaogecenter"/>
              <w:wordWrap w:val="0"/>
              <w:rPr>
                <w:shd w:val="clear" w:color="auto" w:fill="FFFFFF"/>
              </w:rPr>
            </w:pPr>
            <w:r>
              <w:rPr>
                <w:rFonts w:hint="eastAsia"/>
                <w:shd w:val="clear" w:color="auto" w:fill="FFFFFF"/>
              </w:rPr>
              <w:t>开户单位</w:t>
            </w:r>
          </w:p>
        </w:tc>
      </w:tr>
      <w:tr w:rsidR="00E72973">
        <w:trPr>
          <w:trHeight w:val="364"/>
        </w:trPr>
        <w:tc>
          <w:tcPr>
            <w:tcW w:w="370"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rFonts w:hAnsi="Calibri" w:hint="eastAsia"/>
                <w:shd w:val="clear" w:color="auto" w:fill="FFFFFF"/>
              </w:rPr>
              <w:t>1</w:t>
            </w:r>
          </w:p>
        </w:tc>
        <w:tc>
          <w:tcPr>
            <w:tcW w:w="720" w:type="pct"/>
            <w:tcBorders>
              <w:top w:val="single" w:sz="8" w:space="0" w:color="000000"/>
              <w:left w:val="single" w:sz="8" w:space="0" w:color="000000"/>
              <w:bottom w:val="single" w:sz="8" w:space="0" w:color="000000"/>
              <w:right w:val="single" w:sz="8" w:space="0" w:color="000000"/>
            </w:tcBorders>
            <w:noWrap/>
            <w:vAlign w:val="bottom"/>
          </w:tcPr>
          <w:p w:rsidR="00E72973" w:rsidRDefault="00F0294F">
            <w:pPr>
              <w:pStyle w:val="biaogecenter"/>
              <w:wordWrap w:val="0"/>
              <w:rPr>
                <w:shd w:val="clear" w:color="auto" w:fill="FFFFFF"/>
              </w:rPr>
            </w:pPr>
            <w:r>
              <w:rPr>
                <w:shd w:val="clear" w:color="auto" w:fill="FFFFFF"/>
              </w:rPr>
              <w:t>托管账户</w:t>
            </w:r>
          </w:p>
        </w:tc>
        <w:tc>
          <w:tcPr>
            <w:tcW w:w="1302"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shd w:val="clear" w:color="auto" w:fill="FFFFFF"/>
              </w:rPr>
              <w:t>0120080000000273</w:t>
            </w:r>
          </w:p>
        </w:tc>
        <w:tc>
          <w:tcPr>
            <w:tcW w:w="1885"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shd w:val="clear" w:color="auto" w:fill="FFFFFF"/>
              </w:rPr>
              <w:t>南京银行安稳1905一年定开</w:t>
            </w:r>
          </w:p>
        </w:tc>
        <w:tc>
          <w:tcPr>
            <w:tcW w:w="720" w:type="pct"/>
            <w:tcBorders>
              <w:top w:val="single" w:sz="8" w:space="0" w:color="000000"/>
              <w:left w:val="single" w:sz="8" w:space="0" w:color="000000"/>
              <w:bottom w:val="single" w:sz="8" w:space="0" w:color="000000"/>
              <w:right w:val="single" w:sz="8" w:space="0" w:color="000000"/>
            </w:tcBorders>
            <w:noWrap/>
            <w:vAlign w:val="center"/>
          </w:tcPr>
          <w:p w:rsidR="00E72973" w:rsidRDefault="00F0294F">
            <w:pPr>
              <w:pStyle w:val="biaogecenter"/>
              <w:wordWrap w:val="0"/>
              <w:rPr>
                <w:shd w:val="clear" w:color="auto" w:fill="FFFFFF"/>
              </w:rPr>
            </w:pPr>
            <w:r>
              <w:rPr>
                <w:shd w:val="clear" w:color="auto" w:fill="FFFFFF"/>
              </w:rPr>
              <w:t>南京银行</w:t>
            </w:r>
          </w:p>
        </w:tc>
      </w:tr>
    </w:tbl>
    <w:p w:rsidR="00E72973" w:rsidRDefault="00E72973" w:rsidP="00880C1A">
      <w:pPr>
        <w:pStyle w:val="dazhangjie"/>
        <w:jc w:val="left"/>
        <w:rPr>
          <w:b/>
          <w:bCs/>
          <w:color w:val="000000"/>
        </w:rPr>
      </w:pPr>
    </w:p>
    <w:p w:rsidR="00BA2552" w:rsidRPr="00994E75" w:rsidRDefault="007856C0" w:rsidP="00994E75">
      <w:pPr>
        <w:pStyle w:val="biaogeright"/>
        <w:jc w:val="center"/>
        <w:rPr>
          <w:b/>
          <w:bCs/>
          <w:color w:val="000000"/>
        </w:rPr>
      </w:pPr>
      <w:r>
        <w:rPr>
          <w:rFonts w:hint="eastAsia"/>
          <w:b/>
          <w:bCs/>
          <w:color w:val="000000"/>
        </w:rPr>
        <w:t>§7 关联交易情况</w:t>
      </w:r>
    </w:p>
    <w:p w:rsidR="00BA2552" w:rsidRPr="00994E75" w:rsidRDefault="00BA2552" w:rsidP="00994E75">
      <w:pPr>
        <w:widowControl/>
        <w:shd w:val="clear" w:color="auto" w:fill="FFFFFF"/>
        <w:spacing w:before="100" w:beforeAutospacing="1" w:after="100" w:afterAutospacing="1" w:line="390" w:lineRule="atLeast"/>
        <w:ind w:firstLineChars="200" w:firstLine="480"/>
        <w:jc w:val="left"/>
        <w:rPr>
          <w:rFonts w:ascii="宋体" w:hAnsi="宋体"/>
          <w:sz w:val="24"/>
        </w:rPr>
      </w:pPr>
      <w:r w:rsidRPr="00994E75">
        <w:rPr>
          <w:rFonts w:ascii="宋体" w:hAnsi="宋体" w:hint="eastAsia"/>
          <w:sz w:val="24"/>
        </w:rPr>
        <w:t>报告期内，产品投资于关联方发行的证券、关联方作为融资人的非标准化债权类资产业务交易金额0.00元。</w:t>
      </w:r>
    </w:p>
    <w:p w:rsidR="00BA2552" w:rsidRPr="00994E75" w:rsidRDefault="00BA2552" w:rsidP="00994E75">
      <w:pPr>
        <w:widowControl/>
        <w:shd w:val="clear" w:color="auto" w:fill="FFFFFF"/>
        <w:spacing w:before="100" w:beforeAutospacing="1" w:after="100" w:afterAutospacing="1" w:line="390" w:lineRule="atLeast"/>
        <w:ind w:firstLineChars="200" w:firstLine="480"/>
        <w:jc w:val="left"/>
        <w:rPr>
          <w:rFonts w:ascii="宋体" w:hAnsi="宋体"/>
          <w:sz w:val="24"/>
        </w:rPr>
      </w:pPr>
      <w:r w:rsidRPr="00994E75">
        <w:rPr>
          <w:rFonts w:ascii="宋体" w:hAnsi="宋体" w:hint="eastAsia"/>
          <w:sz w:val="24"/>
        </w:rPr>
        <w:t>产品投资于关联方承销的证券交易金额901,122,015.13元。</w:t>
      </w:r>
    </w:p>
    <w:p w:rsidR="00BA2552" w:rsidRPr="00994E75" w:rsidRDefault="00BA2552" w:rsidP="00994E75">
      <w:pPr>
        <w:widowControl/>
        <w:shd w:val="clear" w:color="auto" w:fill="FFFFFF"/>
        <w:spacing w:before="100" w:beforeAutospacing="1" w:after="100" w:afterAutospacing="1" w:line="390" w:lineRule="atLeast"/>
        <w:ind w:firstLineChars="200" w:firstLine="480"/>
        <w:jc w:val="left"/>
        <w:rPr>
          <w:rFonts w:ascii="宋体" w:hAnsi="宋体"/>
          <w:sz w:val="24"/>
        </w:rPr>
      </w:pPr>
      <w:r w:rsidRPr="00994E75">
        <w:rPr>
          <w:rFonts w:ascii="宋体" w:hAnsi="宋体" w:hint="eastAsia"/>
          <w:sz w:val="24"/>
        </w:rPr>
        <w:t>产品与关联方作为交易对手开展的投融资业务交易金额0.00元。</w:t>
      </w:r>
    </w:p>
    <w:p w:rsidR="00BA2552" w:rsidRPr="00994E75" w:rsidRDefault="00BA2552" w:rsidP="00994E75">
      <w:pPr>
        <w:widowControl/>
        <w:shd w:val="clear" w:color="auto" w:fill="FFFFFF"/>
        <w:spacing w:before="100" w:beforeAutospacing="1" w:after="100" w:afterAutospacing="1" w:line="390" w:lineRule="atLeast"/>
        <w:ind w:firstLineChars="200" w:firstLine="480"/>
        <w:jc w:val="left"/>
        <w:rPr>
          <w:rFonts w:ascii="宋体" w:hAnsi="宋体"/>
          <w:sz w:val="24"/>
        </w:rPr>
      </w:pPr>
      <w:r w:rsidRPr="00994E75">
        <w:rPr>
          <w:rFonts w:ascii="宋体" w:hAnsi="宋体" w:hint="eastAsia"/>
          <w:sz w:val="24"/>
        </w:rPr>
        <w:t>产品投资关联方作为管理人的资产管理产品交易金额0.00元。</w:t>
      </w:r>
    </w:p>
    <w:p w:rsidR="00BA2552" w:rsidRPr="00994E75" w:rsidRDefault="00BA2552" w:rsidP="00994E75">
      <w:pPr>
        <w:widowControl/>
        <w:shd w:val="clear" w:color="auto" w:fill="FFFFFF"/>
        <w:spacing w:before="100" w:beforeAutospacing="1" w:after="100" w:afterAutospacing="1" w:line="390" w:lineRule="atLeast"/>
        <w:ind w:firstLineChars="200" w:firstLine="480"/>
        <w:jc w:val="left"/>
        <w:rPr>
          <w:rFonts w:ascii="宋体" w:hAnsi="宋体"/>
          <w:sz w:val="24"/>
        </w:rPr>
      </w:pPr>
      <w:r w:rsidRPr="00994E75">
        <w:rPr>
          <w:rFonts w:ascii="宋体" w:hAnsi="宋体" w:hint="eastAsia"/>
          <w:sz w:val="24"/>
        </w:rPr>
        <w:t>产品</w:t>
      </w:r>
      <w:r w:rsidR="00673FAD">
        <w:rPr>
          <w:rFonts w:ascii="宋体" w:hAnsi="宋体" w:hint="eastAsia"/>
          <w:sz w:val="24"/>
        </w:rPr>
        <w:t>应</w:t>
      </w:r>
      <w:r w:rsidRPr="00994E75">
        <w:rPr>
          <w:rFonts w:ascii="宋体" w:hAnsi="宋体" w:hint="eastAsia"/>
          <w:sz w:val="24"/>
        </w:rPr>
        <w:t>支付关联方托管费165,242.11元，</w:t>
      </w:r>
      <w:r w:rsidR="00673FAD">
        <w:rPr>
          <w:rFonts w:ascii="宋体" w:hAnsi="宋体" w:hint="eastAsia"/>
          <w:sz w:val="24"/>
        </w:rPr>
        <w:t>应</w:t>
      </w:r>
      <w:r w:rsidRPr="00994E75">
        <w:rPr>
          <w:rFonts w:ascii="宋体" w:hAnsi="宋体" w:hint="eastAsia"/>
          <w:sz w:val="24"/>
        </w:rPr>
        <w:t>支付关联方代销费1,640,581.25元。</w:t>
      </w:r>
    </w:p>
    <w:p w:rsidR="00BA2552" w:rsidRPr="00994E75" w:rsidRDefault="00BA2552" w:rsidP="00994E75">
      <w:pPr>
        <w:widowControl/>
        <w:shd w:val="clear" w:color="auto" w:fill="FFFFFF"/>
        <w:spacing w:before="100" w:beforeAutospacing="1" w:after="100" w:afterAutospacing="1" w:line="390" w:lineRule="atLeast"/>
        <w:ind w:firstLineChars="200" w:firstLine="480"/>
        <w:jc w:val="left"/>
        <w:rPr>
          <w:rFonts w:ascii="宋体" w:hAnsi="宋体"/>
          <w:sz w:val="24"/>
        </w:rPr>
      </w:pPr>
      <w:r w:rsidRPr="00994E75">
        <w:rPr>
          <w:rFonts w:ascii="宋体" w:hAnsi="宋体" w:hint="eastAsia"/>
          <w:sz w:val="24"/>
        </w:rPr>
        <w:t>产品发生其他关联交易金额0.00元。</w:t>
      </w:r>
    </w:p>
    <w:p w:rsidR="00880C1A" w:rsidRPr="00994E75" w:rsidRDefault="00BA2552" w:rsidP="00994E75">
      <w:pPr>
        <w:widowControl/>
        <w:shd w:val="clear" w:color="auto" w:fill="FFFFFF"/>
        <w:spacing w:before="100" w:beforeAutospacing="1" w:after="100" w:afterAutospacing="1" w:line="390" w:lineRule="atLeast"/>
        <w:ind w:firstLineChars="200" w:firstLine="480"/>
        <w:jc w:val="left"/>
        <w:rPr>
          <w:rFonts w:ascii="宋体" w:hAnsi="宋体"/>
          <w:sz w:val="24"/>
        </w:rPr>
      </w:pPr>
      <w:r w:rsidRPr="00994E75">
        <w:rPr>
          <w:rFonts w:ascii="宋体" w:hAnsi="宋体" w:hint="eastAsia"/>
          <w:sz w:val="24"/>
        </w:rPr>
        <w:t>报告期内，产品未发生重大关联交易。</w:t>
      </w:r>
    </w:p>
    <w:p w:rsidR="00E72973" w:rsidRDefault="00F0294F">
      <w:pPr>
        <w:pStyle w:val="biaogeright"/>
        <w:rPr>
          <w:rFonts w:hAnsi="Calibri"/>
          <w:b/>
          <w:bCs/>
          <w:color w:val="000000"/>
        </w:rPr>
      </w:pPr>
      <w:r>
        <w:rPr>
          <w:rFonts w:hAnsi="Calibri" w:hint="eastAsia"/>
          <w:b/>
          <w:bCs/>
          <w:color w:val="000000"/>
        </w:rPr>
        <w:t>南银理财有限责任公司</w:t>
      </w:r>
    </w:p>
    <w:p w:rsidR="00E72973" w:rsidRDefault="002300F1" w:rsidP="002300F1">
      <w:pPr>
        <w:pStyle w:val="biaogeright"/>
        <w:rPr>
          <w:rFonts w:hAnsi="Calibri"/>
          <w:b/>
          <w:bCs/>
          <w:color w:val="000000"/>
        </w:rPr>
      </w:pPr>
      <w:r>
        <w:rPr>
          <w:rFonts w:hAnsi="Calibri" w:hint="eastAsia"/>
          <w:b/>
          <w:bCs/>
          <w:color w:val="000000"/>
        </w:rPr>
        <w:t>2022年6月30日</w:t>
      </w:r>
    </w:p>
    <w:sectPr w:rsidR="00E72973" w:rsidSect="00E72973">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A0C" w:rsidRDefault="00624A0C" w:rsidP="00E72973">
      <w:r>
        <w:separator/>
      </w:r>
    </w:p>
  </w:endnote>
  <w:endnote w:type="continuationSeparator" w:id="1">
    <w:p w:rsidR="00624A0C" w:rsidRDefault="00624A0C" w:rsidP="00E729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73" w:rsidRDefault="003C7DA5">
    <w:pPr>
      <w:pStyle w:val="a4"/>
      <w:framePr w:wrap="around" w:vAnchor="text" w:hAnchor="margin" w:xAlign="center" w:y="1"/>
      <w:rPr>
        <w:rStyle w:val="a8"/>
      </w:rPr>
    </w:pPr>
    <w:r>
      <w:fldChar w:fldCharType="begin"/>
    </w:r>
    <w:r w:rsidR="00F0294F">
      <w:rPr>
        <w:rStyle w:val="a8"/>
      </w:rPr>
      <w:instrText xml:space="preserve">PAGE  </w:instrText>
    </w:r>
    <w:r>
      <w:fldChar w:fldCharType="end"/>
    </w:r>
  </w:p>
  <w:p w:rsidR="00E72973" w:rsidRDefault="00E7297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73" w:rsidRDefault="00E72973">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A0C" w:rsidRDefault="00624A0C" w:rsidP="00E72973">
      <w:r>
        <w:separator/>
      </w:r>
    </w:p>
  </w:footnote>
  <w:footnote w:type="continuationSeparator" w:id="1">
    <w:p w:rsidR="00624A0C" w:rsidRDefault="00624A0C" w:rsidP="00E72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73" w:rsidRDefault="00F0294F">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024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7A064631"/>
    <w:rsid w:val="000060E5"/>
    <w:rsid w:val="00007199"/>
    <w:rsid w:val="000102DF"/>
    <w:rsid w:val="00013399"/>
    <w:rsid w:val="00030F14"/>
    <w:rsid w:val="00031AE6"/>
    <w:rsid w:val="00034FF6"/>
    <w:rsid w:val="00044BFF"/>
    <w:rsid w:val="000503DF"/>
    <w:rsid w:val="00052FAC"/>
    <w:rsid w:val="0005474A"/>
    <w:rsid w:val="00061725"/>
    <w:rsid w:val="00066AF8"/>
    <w:rsid w:val="00067886"/>
    <w:rsid w:val="00093286"/>
    <w:rsid w:val="000A07E0"/>
    <w:rsid w:val="000A1970"/>
    <w:rsid w:val="000B285B"/>
    <w:rsid w:val="000B666D"/>
    <w:rsid w:val="000C44EE"/>
    <w:rsid w:val="000D5066"/>
    <w:rsid w:val="000D5F8E"/>
    <w:rsid w:val="000F6191"/>
    <w:rsid w:val="000F6CC0"/>
    <w:rsid w:val="00100FEB"/>
    <w:rsid w:val="0010610C"/>
    <w:rsid w:val="00110E09"/>
    <w:rsid w:val="00130CE8"/>
    <w:rsid w:val="00135D60"/>
    <w:rsid w:val="00140040"/>
    <w:rsid w:val="00145A17"/>
    <w:rsid w:val="00152201"/>
    <w:rsid w:val="0015674C"/>
    <w:rsid w:val="0016590B"/>
    <w:rsid w:val="00176636"/>
    <w:rsid w:val="001835D1"/>
    <w:rsid w:val="00183C84"/>
    <w:rsid w:val="00193272"/>
    <w:rsid w:val="001A0B70"/>
    <w:rsid w:val="001A339C"/>
    <w:rsid w:val="001C05F9"/>
    <w:rsid w:val="001C5395"/>
    <w:rsid w:val="001D5A30"/>
    <w:rsid w:val="001D72A9"/>
    <w:rsid w:val="001E4D88"/>
    <w:rsid w:val="001F4650"/>
    <w:rsid w:val="001F5321"/>
    <w:rsid w:val="002114A7"/>
    <w:rsid w:val="00211F26"/>
    <w:rsid w:val="002227DD"/>
    <w:rsid w:val="002263FC"/>
    <w:rsid w:val="0022694D"/>
    <w:rsid w:val="002273F2"/>
    <w:rsid w:val="00227B17"/>
    <w:rsid w:val="002300F1"/>
    <w:rsid w:val="00231AC2"/>
    <w:rsid w:val="0023550F"/>
    <w:rsid w:val="0024254D"/>
    <w:rsid w:val="00242FF4"/>
    <w:rsid w:val="00251657"/>
    <w:rsid w:val="00261B22"/>
    <w:rsid w:val="0026335B"/>
    <w:rsid w:val="0026513C"/>
    <w:rsid w:val="0026644D"/>
    <w:rsid w:val="002704D6"/>
    <w:rsid w:val="002813D0"/>
    <w:rsid w:val="00285094"/>
    <w:rsid w:val="0028743B"/>
    <w:rsid w:val="002900B6"/>
    <w:rsid w:val="00290D0E"/>
    <w:rsid w:val="002A01E0"/>
    <w:rsid w:val="002A3AE9"/>
    <w:rsid w:val="002A52FA"/>
    <w:rsid w:val="002B2C71"/>
    <w:rsid w:val="002B36BD"/>
    <w:rsid w:val="002B5A27"/>
    <w:rsid w:val="002C196E"/>
    <w:rsid w:val="002C410D"/>
    <w:rsid w:val="002C4863"/>
    <w:rsid w:val="002C7416"/>
    <w:rsid w:val="002D75D0"/>
    <w:rsid w:val="002E795C"/>
    <w:rsid w:val="002F3AEA"/>
    <w:rsid w:val="0030002B"/>
    <w:rsid w:val="0030118D"/>
    <w:rsid w:val="003146EB"/>
    <w:rsid w:val="00321CB7"/>
    <w:rsid w:val="0033280E"/>
    <w:rsid w:val="00336DF9"/>
    <w:rsid w:val="003379A9"/>
    <w:rsid w:val="00347110"/>
    <w:rsid w:val="00350ADF"/>
    <w:rsid w:val="00355623"/>
    <w:rsid w:val="003559D7"/>
    <w:rsid w:val="003606BA"/>
    <w:rsid w:val="00363F78"/>
    <w:rsid w:val="00373526"/>
    <w:rsid w:val="003867E5"/>
    <w:rsid w:val="003A0419"/>
    <w:rsid w:val="003A1606"/>
    <w:rsid w:val="003B16A9"/>
    <w:rsid w:val="003B5524"/>
    <w:rsid w:val="003B73EB"/>
    <w:rsid w:val="003C2E6D"/>
    <w:rsid w:val="003C7DA5"/>
    <w:rsid w:val="003D3D53"/>
    <w:rsid w:val="003E09EA"/>
    <w:rsid w:val="003E5202"/>
    <w:rsid w:val="003F0AC3"/>
    <w:rsid w:val="003F0F3F"/>
    <w:rsid w:val="003F65DD"/>
    <w:rsid w:val="004035EA"/>
    <w:rsid w:val="004135D0"/>
    <w:rsid w:val="00425170"/>
    <w:rsid w:val="00426B51"/>
    <w:rsid w:val="004432ED"/>
    <w:rsid w:val="00456251"/>
    <w:rsid w:val="00456407"/>
    <w:rsid w:val="00466076"/>
    <w:rsid w:val="004717EE"/>
    <w:rsid w:val="00487993"/>
    <w:rsid w:val="00487AA2"/>
    <w:rsid w:val="004B5629"/>
    <w:rsid w:val="004C1077"/>
    <w:rsid w:val="004C1607"/>
    <w:rsid w:val="004C5ED4"/>
    <w:rsid w:val="004C6C8D"/>
    <w:rsid w:val="004E0C32"/>
    <w:rsid w:val="004F4EF1"/>
    <w:rsid w:val="00502C4E"/>
    <w:rsid w:val="005069D8"/>
    <w:rsid w:val="005137ED"/>
    <w:rsid w:val="00516F77"/>
    <w:rsid w:val="00540B6D"/>
    <w:rsid w:val="0054267A"/>
    <w:rsid w:val="00545F71"/>
    <w:rsid w:val="00551558"/>
    <w:rsid w:val="00561127"/>
    <w:rsid w:val="0056162E"/>
    <w:rsid w:val="005651B0"/>
    <w:rsid w:val="00567DB3"/>
    <w:rsid w:val="00574003"/>
    <w:rsid w:val="00580DB6"/>
    <w:rsid w:val="005829C9"/>
    <w:rsid w:val="00586A85"/>
    <w:rsid w:val="00592F8E"/>
    <w:rsid w:val="005B3434"/>
    <w:rsid w:val="005D496D"/>
    <w:rsid w:val="005D5B56"/>
    <w:rsid w:val="005E775A"/>
    <w:rsid w:val="005F2C7B"/>
    <w:rsid w:val="005F4D04"/>
    <w:rsid w:val="006054F8"/>
    <w:rsid w:val="00610174"/>
    <w:rsid w:val="0061061C"/>
    <w:rsid w:val="00615114"/>
    <w:rsid w:val="00622CF4"/>
    <w:rsid w:val="00624A0C"/>
    <w:rsid w:val="0062696F"/>
    <w:rsid w:val="00640B3D"/>
    <w:rsid w:val="00644987"/>
    <w:rsid w:val="0065419A"/>
    <w:rsid w:val="00654220"/>
    <w:rsid w:val="00663B94"/>
    <w:rsid w:val="00666810"/>
    <w:rsid w:val="00673FAD"/>
    <w:rsid w:val="00674124"/>
    <w:rsid w:val="00677F66"/>
    <w:rsid w:val="00684926"/>
    <w:rsid w:val="006857F2"/>
    <w:rsid w:val="006B0DB8"/>
    <w:rsid w:val="006B7A7C"/>
    <w:rsid w:val="006C3B02"/>
    <w:rsid w:val="006D2006"/>
    <w:rsid w:val="006D4071"/>
    <w:rsid w:val="006E0D41"/>
    <w:rsid w:val="006E4E94"/>
    <w:rsid w:val="006F7C4D"/>
    <w:rsid w:val="007113CF"/>
    <w:rsid w:val="00714758"/>
    <w:rsid w:val="00730BEE"/>
    <w:rsid w:val="0073101E"/>
    <w:rsid w:val="00735153"/>
    <w:rsid w:val="00741092"/>
    <w:rsid w:val="00745421"/>
    <w:rsid w:val="00746812"/>
    <w:rsid w:val="007662AE"/>
    <w:rsid w:val="00766DD5"/>
    <w:rsid w:val="00782E54"/>
    <w:rsid w:val="007856C0"/>
    <w:rsid w:val="00792692"/>
    <w:rsid w:val="007A4219"/>
    <w:rsid w:val="007A6DDB"/>
    <w:rsid w:val="007C422D"/>
    <w:rsid w:val="007C572C"/>
    <w:rsid w:val="007D0048"/>
    <w:rsid w:val="007E03D8"/>
    <w:rsid w:val="007E2E92"/>
    <w:rsid w:val="007E40DE"/>
    <w:rsid w:val="007F5739"/>
    <w:rsid w:val="0080200C"/>
    <w:rsid w:val="008036C2"/>
    <w:rsid w:val="00810261"/>
    <w:rsid w:val="00814110"/>
    <w:rsid w:val="0082561A"/>
    <w:rsid w:val="00831B46"/>
    <w:rsid w:val="00833850"/>
    <w:rsid w:val="00846B2E"/>
    <w:rsid w:val="008517A9"/>
    <w:rsid w:val="008532B1"/>
    <w:rsid w:val="00872F6C"/>
    <w:rsid w:val="00880C1A"/>
    <w:rsid w:val="0088632D"/>
    <w:rsid w:val="00890186"/>
    <w:rsid w:val="008926F7"/>
    <w:rsid w:val="0089287C"/>
    <w:rsid w:val="008A7510"/>
    <w:rsid w:val="008B1EB1"/>
    <w:rsid w:val="008B672F"/>
    <w:rsid w:val="008C68AE"/>
    <w:rsid w:val="008C78BD"/>
    <w:rsid w:val="008E165F"/>
    <w:rsid w:val="008E3B3F"/>
    <w:rsid w:val="008E5CC6"/>
    <w:rsid w:val="008F0C19"/>
    <w:rsid w:val="008F342A"/>
    <w:rsid w:val="008F5D16"/>
    <w:rsid w:val="00900D90"/>
    <w:rsid w:val="00903F1F"/>
    <w:rsid w:val="0090682A"/>
    <w:rsid w:val="00916D74"/>
    <w:rsid w:val="009354D6"/>
    <w:rsid w:val="00941D2D"/>
    <w:rsid w:val="009555DD"/>
    <w:rsid w:val="00964838"/>
    <w:rsid w:val="00970A98"/>
    <w:rsid w:val="00970F7B"/>
    <w:rsid w:val="00981ECB"/>
    <w:rsid w:val="00983B6A"/>
    <w:rsid w:val="00985CAB"/>
    <w:rsid w:val="00994E75"/>
    <w:rsid w:val="009964B2"/>
    <w:rsid w:val="009A30DF"/>
    <w:rsid w:val="009C056B"/>
    <w:rsid w:val="009C2706"/>
    <w:rsid w:val="009C781F"/>
    <w:rsid w:val="009D3E39"/>
    <w:rsid w:val="009E6170"/>
    <w:rsid w:val="009F16BB"/>
    <w:rsid w:val="00A4484F"/>
    <w:rsid w:val="00A60E33"/>
    <w:rsid w:val="00A6112A"/>
    <w:rsid w:val="00A76D4B"/>
    <w:rsid w:val="00A77C47"/>
    <w:rsid w:val="00A9119C"/>
    <w:rsid w:val="00AA2969"/>
    <w:rsid w:val="00AA4549"/>
    <w:rsid w:val="00AB0A11"/>
    <w:rsid w:val="00AB0CFC"/>
    <w:rsid w:val="00AB6691"/>
    <w:rsid w:val="00AB68F2"/>
    <w:rsid w:val="00AC5144"/>
    <w:rsid w:val="00AC6BA7"/>
    <w:rsid w:val="00AD3F7A"/>
    <w:rsid w:val="00AD6FA5"/>
    <w:rsid w:val="00AD77C5"/>
    <w:rsid w:val="00AE0098"/>
    <w:rsid w:val="00AE36E8"/>
    <w:rsid w:val="00AE519B"/>
    <w:rsid w:val="00AF6377"/>
    <w:rsid w:val="00B05543"/>
    <w:rsid w:val="00B13014"/>
    <w:rsid w:val="00B21B25"/>
    <w:rsid w:val="00B33B19"/>
    <w:rsid w:val="00B404E6"/>
    <w:rsid w:val="00B4360D"/>
    <w:rsid w:val="00B4725A"/>
    <w:rsid w:val="00B52C8B"/>
    <w:rsid w:val="00B54409"/>
    <w:rsid w:val="00B67966"/>
    <w:rsid w:val="00B74DCA"/>
    <w:rsid w:val="00B82278"/>
    <w:rsid w:val="00B96D3F"/>
    <w:rsid w:val="00BA2552"/>
    <w:rsid w:val="00BA2F89"/>
    <w:rsid w:val="00BC3903"/>
    <w:rsid w:val="00BD2A26"/>
    <w:rsid w:val="00BD7297"/>
    <w:rsid w:val="00BE196A"/>
    <w:rsid w:val="00BE3F72"/>
    <w:rsid w:val="00BE47E0"/>
    <w:rsid w:val="00BE501B"/>
    <w:rsid w:val="00BF117B"/>
    <w:rsid w:val="00BF75C8"/>
    <w:rsid w:val="00C1762E"/>
    <w:rsid w:val="00C20A3D"/>
    <w:rsid w:val="00C217ED"/>
    <w:rsid w:val="00C30A48"/>
    <w:rsid w:val="00C35FA6"/>
    <w:rsid w:val="00C42F46"/>
    <w:rsid w:val="00C43741"/>
    <w:rsid w:val="00C457B8"/>
    <w:rsid w:val="00C52E56"/>
    <w:rsid w:val="00C57B86"/>
    <w:rsid w:val="00C640FB"/>
    <w:rsid w:val="00C65651"/>
    <w:rsid w:val="00C92A8F"/>
    <w:rsid w:val="00CA6198"/>
    <w:rsid w:val="00CB054E"/>
    <w:rsid w:val="00CC232E"/>
    <w:rsid w:val="00CC29AF"/>
    <w:rsid w:val="00CC52D7"/>
    <w:rsid w:val="00CD0E9E"/>
    <w:rsid w:val="00CD1D4C"/>
    <w:rsid w:val="00CF6C89"/>
    <w:rsid w:val="00D0449D"/>
    <w:rsid w:val="00D12201"/>
    <w:rsid w:val="00D15A8A"/>
    <w:rsid w:val="00D2360B"/>
    <w:rsid w:val="00D23AB6"/>
    <w:rsid w:val="00D377B9"/>
    <w:rsid w:val="00D4110C"/>
    <w:rsid w:val="00D50309"/>
    <w:rsid w:val="00D51AA9"/>
    <w:rsid w:val="00D63ABC"/>
    <w:rsid w:val="00D641E5"/>
    <w:rsid w:val="00D7264A"/>
    <w:rsid w:val="00D80A09"/>
    <w:rsid w:val="00D80BDA"/>
    <w:rsid w:val="00D84E43"/>
    <w:rsid w:val="00D943CD"/>
    <w:rsid w:val="00DA4BE9"/>
    <w:rsid w:val="00DB0C2F"/>
    <w:rsid w:val="00DB3818"/>
    <w:rsid w:val="00DB3BF6"/>
    <w:rsid w:val="00DC31CC"/>
    <w:rsid w:val="00DC728A"/>
    <w:rsid w:val="00DD51B6"/>
    <w:rsid w:val="00DD597C"/>
    <w:rsid w:val="00DE67E4"/>
    <w:rsid w:val="00DF21F0"/>
    <w:rsid w:val="00E00594"/>
    <w:rsid w:val="00E01920"/>
    <w:rsid w:val="00E155DF"/>
    <w:rsid w:val="00E41113"/>
    <w:rsid w:val="00E41B5E"/>
    <w:rsid w:val="00E436EF"/>
    <w:rsid w:val="00E544DD"/>
    <w:rsid w:val="00E623AB"/>
    <w:rsid w:val="00E661C3"/>
    <w:rsid w:val="00E67410"/>
    <w:rsid w:val="00E72973"/>
    <w:rsid w:val="00E81EDF"/>
    <w:rsid w:val="00E9797A"/>
    <w:rsid w:val="00EA2CC5"/>
    <w:rsid w:val="00EA5D3D"/>
    <w:rsid w:val="00EB0FBF"/>
    <w:rsid w:val="00EB6C63"/>
    <w:rsid w:val="00EC4DE1"/>
    <w:rsid w:val="00ED4637"/>
    <w:rsid w:val="00EE0436"/>
    <w:rsid w:val="00EE7C80"/>
    <w:rsid w:val="00EF451D"/>
    <w:rsid w:val="00F0294F"/>
    <w:rsid w:val="00F1189A"/>
    <w:rsid w:val="00F2526B"/>
    <w:rsid w:val="00F41324"/>
    <w:rsid w:val="00F42715"/>
    <w:rsid w:val="00F44CC2"/>
    <w:rsid w:val="00F609FD"/>
    <w:rsid w:val="00F66874"/>
    <w:rsid w:val="00F81345"/>
    <w:rsid w:val="00F859AB"/>
    <w:rsid w:val="00F90CD9"/>
    <w:rsid w:val="00F939D0"/>
    <w:rsid w:val="00F950D0"/>
    <w:rsid w:val="00FA2C26"/>
    <w:rsid w:val="00FA58C9"/>
    <w:rsid w:val="00FA650F"/>
    <w:rsid w:val="00FB6E8E"/>
    <w:rsid w:val="00FD035A"/>
    <w:rsid w:val="00FD085B"/>
    <w:rsid w:val="022C2410"/>
    <w:rsid w:val="02533C02"/>
    <w:rsid w:val="026D0131"/>
    <w:rsid w:val="03643C6B"/>
    <w:rsid w:val="037A1E29"/>
    <w:rsid w:val="03FA128F"/>
    <w:rsid w:val="04EE43A7"/>
    <w:rsid w:val="05430913"/>
    <w:rsid w:val="066933CB"/>
    <w:rsid w:val="06CE78F2"/>
    <w:rsid w:val="08143E27"/>
    <w:rsid w:val="086A4C04"/>
    <w:rsid w:val="0A5B0060"/>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7CF0193"/>
    <w:rsid w:val="2933258B"/>
    <w:rsid w:val="298E16C7"/>
    <w:rsid w:val="2B7C5C81"/>
    <w:rsid w:val="2F132635"/>
    <w:rsid w:val="30077F05"/>
    <w:rsid w:val="3121340F"/>
    <w:rsid w:val="336668FA"/>
    <w:rsid w:val="36316B15"/>
    <w:rsid w:val="368076E6"/>
    <w:rsid w:val="388D7049"/>
    <w:rsid w:val="39455ACA"/>
    <w:rsid w:val="39BC3302"/>
    <w:rsid w:val="3A5E67F0"/>
    <w:rsid w:val="3AF80478"/>
    <w:rsid w:val="3B5752AF"/>
    <w:rsid w:val="3C0E0AC1"/>
    <w:rsid w:val="3DE33F68"/>
    <w:rsid w:val="3FB22C0A"/>
    <w:rsid w:val="40897464"/>
    <w:rsid w:val="40E1302A"/>
    <w:rsid w:val="42BE08E7"/>
    <w:rsid w:val="433A3D7A"/>
    <w:rsid w:val="43A019F4"/>
    <w:rsid w:val="46A13001"/>
    <w:rsid w:val="49DD5A7F"/>
    <w:rsid w:val="4A9A51B9"/>
    <w:rsid w:val="4DEC7E75"/>
    <w:rsid w:val="4E276A76"/>
    <w:rsid w:val="4F8709AB"/>
    <w:rsid w:val="50C47F64"/>
    <w:rsid w:val="53300D28"/>
    <w:rsid w:val="55CC3E04"/>
    <w:rsid w:val="55E57CB6"/>
    <w:rsid w:val="564B4BD9"/>
    <w:rsid w:val="56696C12"/>
    <w:rsid w:val="57AD6E41"/>
    <w:rsid w:val="580B5AEB"/>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0FC1DA7"/>
    <w:rsid w:val="73193673"/>
    <w:rsid w:val="78467F33"/>
    <w:rsid w:val="7A056855"/>
    <w:rsid w:val="7A064631"/>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297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72973"/>
    <w:rPr>
      <w:sz w:val="18"/>
      <w:szCs w:val="18"/>
      <w:lang/>
    </w:rPr>
  </w:style>
  <w:style w:type="paragraph" w:styleId="a4">
    <w:name w:val="footer"/>
    <w:basedOn w:val="a"/>
    <w:link w:val="Char0"/>
    <w:uiPriority w:val="99"/>
    <w:unhideWhenUsed/>
    <w:qFormat/>
    <w:rsid w:val="00E72973"/>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E72973"/>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E72973"/>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E729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E72973"/>
  </w:style>
  <w:style w:type="paragraph" w:customStyle="1" w:styleId="zhongyaotishi">
    <w:name w:val="zhongyaotishi"/>
    <w:basedOn w:val="a"/>
    <w:qFormat/>
    <w:rsid w:val="00E7297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E7297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E72973"/>
    <w:pPr>
      <w:widowControl w:val="0"/>
      <w:jc w:val="center"/>
    </w:pPr>
    <w:rPr>
      <w:kern w:val="2"/>
      <w:sz w:val="33"/>
      <w:szCs w:val="22"/>
    </w:rPr>
  </w:style>
  <w:style w:type="paragraph" w:customStyle="1" w:styleId="neirong">
    <w:name w:val="neirong"/>
    <w:basedOn w:val="a"/>
    <w:qFormat/>
    <w:rsid w:val="00E7297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E7297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72973"/>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E7297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E7297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E72973"/>
    <w:pPr>
      <w:widowControl w:val="0"/>
    </w:pPr>
    <w:rPr>
      <w:kern w:val="2"/>
      <w:sz w:val="21"/>
      <w:szCs w:val="22"/>
    </w:rPr>
  </w:style>
  <w:style w:type="paragraph" w:customStyle="1" w:styleId="biaogecenter">
    <w:name w:val="biaoge_center"/>
    <w:basedOn w:val="a"/>
    <w:qFormat/>
    <w:rsid w:val="00E7297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E72973"/>
    <w:pPr>
      <w:jc w:val="both"/>
    </w:pPr>
    <w:rPr>
      <w:kern w:val="2"/>
      <w:sz w:val="21"/>
      <w:szCs w:val="21"/>
    </w:rPr>
  </w:style>
  <w:style w:type="paragraph" w:customStyle="1" w:styleId="biaogeright1">
    <w:name w:val="biaoge_right1"/>
    <w:basedOn w:val="a"/>
    <w:qFormat/>
    <w:rsid w:val="00E7297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7297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E7297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E72973"/>
    <w:rPr>
      <w:kern w:val="2"/>
      <w:sz w:val="18"/>
      <w:szCs w:val="18"/>
    </w:rPr>
  </w:style>
  <w:style w:type="character" w:customStyle="1" w:styleId="Char0">
    <w:name w:val="页脚 Char"/>
    <w:link w:val="a4"/>
    <w:uiPriority w:val="99"/>
    <w:semiHidden/>
    <w:qFormat/>
    <w:locked/>
    <w:rsid w:val="00E72973"/>
    <w:rPr>
      <w:rFonts w:ascii="Times New Roman" w:hAnsi="Times New Roman" w:cs="Times New Roman" w:hint="default"/>
      <w:sz w:val="18"/>
      <w:szCs w:val="18"/>
    </w:rPr>
  </w:style>
  <w:style w:type="character" w:customStyle="1" w:styleId="Char1">
    <w:name w:val="页眉 Char"/>
    <w:link w:val="a5"/>
    <w:uiPriority w:val="99"/>
    <w:semiHidden/>
    <w:qFormat/>
    <w:locked/>
    <w:rsid w:val="00E72973"/>
    <w:rPr>
      <w:rFonts w:ascii="Times New Roman" w:hAnsi="Times New Roman" w:cs="Times New Roman" w:hint="default"/>
      <w:sz w:val="18"/>
      <w:szCs w:val="18"/>
    </w:rPr>
  </w:style>
  <w:style w:type="table" w:customStyle="1" w:styleId="dqbgxx">
    <w:name w:val="dqbgxx"/>
    <w:basedOn w:val="a1"/>
    <w:qFormat/>
    <w:rsid w:val="00E72973"/>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E72973"/>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E72973"/>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陈相莉</cp:lastModifiedBy>
  <cp:revision>66</cp:revision>
  <dcterms:created xsi:type="dcterms:W3CDTF">2021-06-30T07:28:00Z</dcterms:created>
  <dcterms:modified xsi:type="dcterms:W3CDTF">2022-09-05T07:41:00Z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