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44E" w:rsidRDefault="00B6244E">
      <w:pPr>
        <w:pStyle w:val="dazhangjie"/>
        <w:ind w:left="0"/>
        <w:jc w:val="both"/>
        <w:rPr>
          <w:b/>
          <w:bCs/>
          <w:color w:val="000000"/>
        </w:rPr>
      </w:pPr>
    </w:p>
    <w:p w:rsidR="00B6244E" w:rsidRDefault="00B6244E">
      <w:pPr>
        <w:pStyle w:val="dazhangjie"/>
        <w:ind w:left="0"/>
        <w:jc w:val="both"/>
        <w:rPr>
          <w:b/>
          <w:bCs/>
          <w:color w:val="000000"/>
        </w:rPr>
      </w:pPr>
    </w:p>
    <w:p w:rsidR="00B6244E" w:rsidRDefault="00B6244E">
      <w:pPr>
        <w:pStyle w:val="dazhangjie"/>
        <w:ind w:left="0"/>
        <w:jc w:val="both"/>
        <w:rPr>
          <w:b/>
          <w:bCs/>
          <w:color w:val="000000"/>
        </w:rPr>
      </w:pPr>
    </w:p>
    <w:p w:rsidR="00B6244E" w:rsidRDefault="00667BD4">
      <w:pPr>
        <w:pStyle w:val="dazhangjie"/>
        <w:spacing w:before="240" w:after="120"/>
        <w:rPr>
          <w:rFonts w:ascii="黑体" w:eastAsia="黑体"/>
          <w:b/>
          <w:bCs/>
          <w:color w:val="000000"/>
          <w:sz w:val="36"/>
        </w:rPr>
      </w:pPr>
      <w:r>
        <w:rPr>
          <w:rFonts w:ascii="黑体" w:eastAsia="黑体" w:hint="eastAsia"/>
          <w:b/>
          <w:bCs/>
          <w:color w:val="000000"/>
          <w:sz w:val="36"/>
        </w:rPr>
        <w:t>南银理财珠联璧合理财管理计划1号公募人民币理财产品</w:t>
      </w:r>
    </w:p>
    <w:p w:rsidR="00B6244E" w:rsidRDefault="00ED1C87">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48201F">
        <w:rPr>
          <w:rFonts w:ascii="黑体" w:eastAsia="黑体" w:hAnsi="黑体" w:hint="eastAsia"/>
          <w:b/>
          <w:bCs/>
          <w:color w:val="000000"/>
          <w:sz w:val="36"/>
        </w:rPr>
        <w:t>半年</w:t>
      </w:r>
      <w:r>
        <w:rPr>
          <w:rFonts w:ascii="黑体" w:eastAsia="黑体" w:hAnsi="黑体"/>
          <w:b/>
          <w:bCs/>
          <w:color w:val="000000"/>
          <w:sz w:val="36"/>
        </w:rPr>
        <w:t>度报告</w:t>
      </w:r>
    </w:p>
    <w:p w:rsidR="00B6244E" w:rsidRDefault="00B6244E">
      <w:pPr>
        <w:pStyle w:val="dazhangjie"/>
        <w:spacing w:before="240" w:after="120"/>
        <w:rPr>
          <w:rFonts w:ascii="黑体" w:eastAsia="黑体" w:hAnsi="黑体"/>
          <w:b/>
          <w:bCs/>
          <w:color w:val="000000"/>
          <w:sz w:val="36"/>
        </w:rPr>
      </w:pPr>
    </w:p>
    <w:p w:rsidR="00B6244E" w:rsidRDefault="00B6244E">
      <w:pPr>
        <w:pStyle w:val="dazhangjie"/>
        <w:spacing w:before="240" w:after="120"/>
        <w:rPr>
          <w:rFonts w:ascii="黑体" w:eastAsia="黑体" w:hAnsi="黑体"/>
          <w:b/>
          <w:bCs/>
          <w:color w:val="000000"/>
          <w:sz w:val="36"/>
        </w:rPr>
      </w:pPr>
    </w:p>
    <w:p w:rsidR="00B6244E" w:rsidRDefault="00B6244E">
      <w:pPr>
        <w:pStyle w:val="dazhangjie"/>
        <w:spacing w:before="240" w:after="120"/>
        <w:rPr>
          <w:rFonts w:ascii="黑体" w:eastAsia="黑体" w:hAnsi="黑体"/>
          <w:b/>
          <w:bCs/>
          <w:color w:val="000000"/>
          <w:sz w:val="36"/>
        </w:rPr>
      </w:pPr>
    </w:p>
    <w:p w:rsidR="00B6244E" w:rsidRDefault="00B6244E">
      <w:pPr>
        <w:pStyle w:val="dazhangjie"/>
        <w:spacing w:before="240" w:after="120"/>
        <w:rPr>
          <w:rFonts w:ascii="黑体" w:eastAsia="黑体" w:hAnsi="黑体"/>
          <w:b/>
          <w:bCs/>
          <w:color w:val="000000"/>
          <w:sz w:val="36"/>
        </w:rPr>
      </w:pPr>
    </w:p>
    <w:p w:rsidR="00B6244E" w:rsidRDefault="00B6244E">
      <w:pPr>
        <w:pStyle w:val="dazhangjie"/>
        <w:spacing w:before="240" w:after="120"/>
        <w:ind w:left="0"/>
        <w:jc w:val="both"/>
        <w:rPr>
          <w:rFonts w:ascii="黑体" w:eastAsia="黑体" w:hAnsi="黑体"/>
          <w:b/>
          <w:bCs/>
          <w:color w:val="000000"/>
          <w:sz w:val="36"/>
        </w:rPr>
      </w:pPr>
    </w:p>
    <w:p w:rsidR="00B6244E" w:rsidRDefault="00667BD4">
      <w:pPr>
        <w:pStyle w:val="dazhangjie"/>
        <w:spacing w:before="240" w:after="120"/>
        <w:rPr>
          <w:b/>
          <w:bCs/>
          <w:color w:val="000000"/>
        </w:rPr>
      </w:pPr>
      <w:r>
        <w:rPr>
          <w:rFonts w:hint="eastAsia"/>
          <w:b/>
          <w:bCs/>
          <w:color w:val="000000"/>
        </w:rPr>
        <w:t>产品</w:t>
      </w:r>
      <w:r>
        <w:rPr>
          <w:b/>
          <w:bCs/>
          <w:color w:val="000000"/>
        </w:rPr>
        <w:t>管理人:南银理财有限责任公司</w:t>
      </w:r>
    </w:p>
    <w:p w:rsidR="00B6244E" w:rsidRDefault="00667BD4">
      <w:pPr>
        <w:pStyle w:val="dazhangjie"/>
        <w:spacing w:before="240" w:after="120"/>
        <w:rPr>
          <w:b/>
          <w:bCs/>
          <w:color w:val="000000"/>
        </w:rPr>
      </w:pPr>
      <w:r>
        <w:rPr>
          <w:rFonts w:hint="eastAsia"/>
          <w:b/>
          <w:bCs/>
          <w:color w:val="000000"/>
        </w:rPr>
        <w:t>产品</w:t>
      </w:r>
      <w:r>
        <w:rPr>
          <w:b/>
          <w:bCs/>
          <w:color w:val="000000"/>
        </w:rPr>
        <w:t>托管人:南京银行股份有限公司</w:t>
      </w:r>
    </w:p>
    <w:p w:rsidR="00B6244E" w:rsidRDefault="00667BD4">
      <w:pPr>
        <w:widowControl/>
        <w:jc w:val="left"/>
        <w:rPr>
          <w:b/>
          <w:bCs/>
          <w:color w:val="000000"/>
        </w:rPr>
      </w:pPr>
      <w:r>
        <w:rPr>
          <w:rFonts w:hint="eastAsia"/>
          <w:b/>
          <w:bCs/>
          <w:color w:val="000000"/>
        </w:rPr>
        <w:br w:type="page"/>
      </w:r>
    </w:p>
    <w:p w:rsidR="00B6244E" w:rsidRDefault="00667BD4">
      <w:pPr>
        <w:pStyle w:val="dazhangjie"/>
        <w:rPr>
          <w:color w:val="000000"/>
        </w:rPr>
      </w:pPr>
      <w:r>
        <w:rPr>
          <w:rFonts w:hAnsi="Calibri" w:hint="eastAsia"/>
          <w:b/>
          <w:color w:val="000000"/>
        </w:rPr>
        <w:t>§1 产品概况</w:t>
      </w:r>
    </w:p>
    <w:p w:rsidR="00B6244E" w:rsidRDefault="00B6244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pPr>
            <w:r>
              <w:rPr>
                <w:rFonts w:hint="eastAsia"/>
              </w:rPr>
              <w:t>南银理财珠联璧合理财管理计划1号公募人民币理财产品</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pPr>
            <w:r>
              <w:rPr>
                <w:rFonts w:hint="eastAsia"/>
              </w:rPr>
              <w:t>Z7003220000003（投资者可依据该编码在中国理财网www.chinawealth.com.cn查询理财产品相关信息）</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开放式净值型</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color w:val="000000"/>
              </w:rPr>
              <w:t>2014年09月17日</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ED1C87">
            <w:pPr>
              <w:pStyle w:val="biaogeleft"/>
              <w:wordWrap w:val="0"/>
            </w:pPr>
            <w:r>
              <w:t>10,361,592,347.08份</w:t>
            </w:r>
          </w:p>
        </w:tc>
      </w:tr>
      <w:tr w:rsidR="0048201F">
        <w:tc>
          <w:tcPr>
            <w:tcW w:w="2811" w:type="dxa"/>
            <w:tcBorders>
              <w:top w:val="single" w:sz="8" w:space="0" w:color="000000"/>
              <w:left w:val="single" w:sz="8" w:space="0" w:color="000000"/>
              <w:bottom w:val="single" w:sz="6" w:space="0" w:color="000000"/>
              <w:right w:val="single" w:sz="8" w:space="0" w:color="000000"/>
            </w:tcBorders>
            <w:noWrap/>
            <w:vAlign w:val="center"/>
          </w:tcPr>
          <w:p w:rsidR="0048201F" w:rsidRDefault="0048201F" w:rsidP="00106A54">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8201F" w:rsidRDefault="00330E1B" w:rsidP="00106A54">
            <w:pPr>
              <w:pStyle w:val="biaogeleft"/>
              <w:wordWrap w:val="0"/>
            </w:pPr>
            <w:r>
              <w:t>100.10%</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B908BB">
            <w:pPr>
              <w:pStyle w:val="biaogeleft"/>
              <w:wordWrap w:val="0"/>
              <w:rPr>
                <w:color w:val="000000"/>
              </w:rPr>
            </w:pPr>
            <w:r>
              <w:rPr>
                <w:rFonts w:hint="eastAsia"/>
                <w:color w:val="000000"/>
              </w:rPr>
              <w:t>-</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neirong"/>
              <w:wordWrap w:val="0"/>
              <w:rPr>
                <w:color w:val="000000"/>
              </w:rPr>
            </w:pPr>
            <w:r>
              <w:rPr>
                <w:color w:val="000000"/>
              </w:rPr>
              <w:t>南银理财有限责任公司</w:t>
            </w:r>
          </w:p>
        </w:tc>
      </w:tr>
      <w:tr w:rsidR="00B6244E">
        <w:tc>
          <w:tcPr>
            <w:tcW w:w="281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left"/>
              <w:wordWrap w:val="0"/>
              <w:rPr>
                <w:color w:val="000000"/>
              </w:rPr>
            </w:pPr>
            <w:r>
              <w:rPr>
                <w:color w:val="000000"/>
              </w:rPr>
              <w:t>南京银行股份有限公司</w:t>
            </w:r>
          </w:p>
        </w:tc>
      </w:tr>
    </w:tbl>
    <w:p w:rsidR="00B6244E" w:rsidRDefault="00B6244E">
      <w:pPr>
        <w:widowControl/>
        <w:jc w:val="left"/>
        <w:rPr>
          <w:rFonts w:ascii="宋体" w:hAnsi="宋体" w:cs="宋体"/>
          <w:color w:val="000000"/>
          <w:kern w:val="0"/>
          <w:sz w:val="24"/>
          <w:szCs w:val="24"/>
        </w:rPr>
      </w:pPr>
    </w:p>
    <w:p w:rsidR="00B6244E" w:rsidRDefault="00667BD4">
      <w:pPr>
        <w:pStyle w:val="dazhangjie"/>
        <w:rPr>
          <w:color w:val="000000"/>
        </w:rPr>
      </w:pPr>
      <w:r>
        <w:rPr>
          <w:rFonts w:hAnsi="Calibri" w:hint="eastAsia"/>
          <w:b/>
          <w:color w:val="000000"/>
        </w:rPr>
        <w:t>§2  主要财务指标</w:t>
      </w:r>
    </w:p>
    <w:p w:rsidR="00B6244E" w:rsidRDefault="00667BD4">
      <w:pPr>
        <w:pStyle w:val="zhangjiep"/>
        <w:ind w:left="0"/>
        <w:rPr>
          <w:color w:val="000000"/>
        </w:rPr>
      </w:pPr>
      <w:r>
        <w:rPr>
          <w:rFonts w:hint="eastAsia"/>
          <w:b/>
          <w:bCs/>
          <w:color w:val="000000"/>
        </w:rPr>
        <w:t>2.1 主要财务指标</w:t>
      </w:r>
    </w:p>
    <w:p w:rsidR="00B6244E" w:rsidRDefault="00667BD4">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58045F">
        <w:tc>
          <w:tcPr>
            <w:tcW w:w="4135" w:type="dxa"/>
            <w:noWrap/>
            <w:vAlign w:val="center"/>
          </w:tcPr>
          <w:p w:rsidR="0058045F" w:rsidRDefault="0058045F">
            <w:pPr>
              <w:pStyle w:val="a6"/>
              <w:wordWrap w:val="0"/>
              <w:jc w:val="center"/>
              <w:rPr>
                <w:b/>
                <w:bCs/>
                <w:color w:val="000000"/>
              </w:rPr>
            </w:pPr>
            <w:r>
              <w:rPr>
                <w:rFonts w:hint="eastAsia"/>
                <w:b/>
                <w:bCs/>
                <w:color w:val="000000"/>
              </w:rPr>
              <w:t>主要财务指标</w:t>
            </w:r>
          </w:p>
        </w:tc>
        <w:tc>
          <w:tcPr>
            <w:tcW w:w="5187" w:type="dxa"/>
            <w:noWrap/>
          </w:tcPr>
          <w:p w:rsidR="0058045F" w:rsidRDefault="00330E1B" w:rsidP="0048201F">
            <w:pPr>
              <w:pStyle w:val="zhangjiep"/>
              <w:jc w:val="center"/>
              <w:rPr>
                <w:b/>
                <w:bCs/>
                <w:color w:val="000000"/>
              </w:rPr>
            </w:pPr>
            <w:r>
              <w:rPr>
                <w:rFonts w:hint="eastAsia"/>
              </w:rPr>
              <w:t>报告期（</w:t>
            </w:r>
            <w:r>
              <w:t>2022年01月01日-2022年06月30日)</w:t>
            </w:r>
          </w:p>
        </w:tc>
      </w:tr>
      <w:tr w:rsidR="00B6244E">
        <w:tc>
          <w:tcPr>
            <w:tcW w:w="4135" w:type="dxa"/>
            <w:noWrap/>
            <w:vAlign w:val="center"/>
          </w:tcPr>
          <w:p w:rsidR="00B6244E" w:rsidRDefault="00667BD4">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B6244E" w:rsidRDefault="00ED1C87">
            <w:pPr>
              <w:pStyle w:val="biaogeright"/>
              <w:jc w:val="center"/>
              <w:rPr>
                <w:b/>
                <w:bCs/>
                <w:color w:val="000000"/>
              </w:rPr>
            </w:pPr>
            <w:r>
              <w:rPr>
                <w:color w:val="000000"/>
              </w:rPr>
              <w:t>10,679,399,877.61</w:t>
            </w:r>
          </w:p>
        </w:tc>
      </w:tr>
      <w:tr w:rsidR="00B6244E">
        <w:tc>
          <w:tcPr>
            <w:tcW w:w="4135" w:type="dxa"/>
            <w:noWrap/>
            <w:vAlign w:val="center"/>
          </w:tcPr>
          <w:p w:rsidR="00B6244E" w:rsidRDefault="00667BD4">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B6244E" w:rsidRDefault="00ED1C87">
            <w:pPr>
              <w:pStyle w:val="biaogeright"/>
              <w:jc w:val="center"/>
              <w:rPr>
                <w:b/>
                <w:bCs/>
                <w:color w:val="000000"/>
              </w:rPr>
            </w:pPr>
            <w:r>
              <w:rPr>
                <w:color w:val="000000"/>
              </w:rPr>
              <w:t>1.0306</w:t>
            </w:r>
          </w:p>
        </w:tc>
      </w:tr>
      <w:tr w:rsidR="00B6244E">
        <w:tc>
          <w:tcPr>
            <w:tcW w:w="4135" w:type="dxa"/>
            <w:noWrap/>
            <w:vAlign w:val="center"/>
          </w:tcPr>
          <w:p w:rsidR="00B6244E" w:rsidRDefault="00667BD4">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B6244E" w:rsidRDefault="00ED1C87">
            <w:pPr>
              <w:pStyle w:val="biaogeright"/>
              <w:jc w:val="center"/>
              <w:rPr>
                <w:b/>
                <w:bCs/>
                <w:color w:val="000000"/>
              </w:rPr>
            </w:pPr>
            <w:r>
              <w:rPr>
                <w:color w:val="000000"/>
              </w:rPr>
              <w:t>1.3650</w:t>
            </w:r>
          </w:p>
        </w:tc>
      </w:tr>
      <w:tr w:rsidR="0048201F">
        <w:tc>
          <w:tcPr>
            <w:tcW w:w="4135" w:type="dxa"/>
            <w:noWrap/>
            <w:vAlign w:val="center"/>
          </w:tcPr>
          <w:p w:rsidR="0048201F" w:rsidRDefault="0048201F" w:rsidP="00106A54">
            <w:pPr>
              <w:pStyle w:val="a6"/>
              <w:wordWrap w:val="0"/>
              <w:rPr>
                <w:shd w:val="clear" w:color="auto" w:fill="FFFFFF"/>
              </w:rPr>
            </w:pPr>
            <w:r>
              <w:rPr>
                <w:shd w:val="clear" w:color="auto" w:fill="FFFFFF"/>
              </w:rPr>
              <w:t>4.</w:t>
            </w:r>
            <w:r>
              <w:rPr>
                <w:rFonts w:hint="eastAsia"/>
                <w:shd w:val="clear" w:color="auto" w:fill="FFFFFF"/>
              </w:rPr>
              <w:t>其它费用</w:t>
            </w:r>
          </w:p>
        </w:tc>
        <w:tc>
          <w:tcPr>
            <w:tcW w:w="5187" w:type="dxa"/>
            <w:noWrap/>
            <w:vAlign w:val="center"/>
          </w:tcPr>
          <w:p w:rsidR="0048201F" w:rsidRDefault="00330E1B">
            <w:pPr>
              <w:pStyle w:val="biaogeright"/>
              <w:jc w:val="center"/>
              <w:rPr>
                <w:color w:val="000000"/>
              </w:rPr>
            </w:pPr>
            <w:r>
              <w:rPr>
                <w:color w:val="000000"/>
              </w:rPr>
              <w:t>64,406.37</w:t>
            </w:r>
          </w:p>
        </w:tc>
      </w:tr>
    </w:tbl>
    <w:p w:rsidR="00B6244E" w:rsidRDefault="00667BD4">
      <w:pPr>
        <w:pStyle w:val="biaogeleft"/>
        <w:ind w:left="0"/>
        <w:rPr>
          <w:color w:val="000000"/>
        </w:rPr>
      </w:pPr>
      <w:r>
        <w:rPr>
          <w:rFonts w:hint="eastAsia"/>
        </w:rPr>
        <w:t>注：产品净值可能存在未扣除管理人及投资合作机构业绩报酬、赎回费等费用（如有）的情况，实际收益以兑付为准。</w:t>
      </w:r>
    </w:p>
    <w:p w:rsidR="00B6244E" w:rsidRDefault="00B6244E">
      <w:pPr>
        <w:pStyle w:val="zhangjiep"/>
        <w:ind w:left="0"/>
        <w:rPr>
          <w:b/>
          <w:bCs/>
          <w:color w:val="000000"/>
        </w:rPr>
      </w:pPr>
    </w:p>
    <w:p w:rsidR="00B6244E" w:rsidRDefault="00B6244E">
      <w:pPr>
        <w:widowControl/>
        <w:jc w:val="left"/>
        <w:rPr>
          <w:rFonts w:ascii="宋体" w:hAnsi="宋体" w:cs="宋体"/>
          <w:color w:val="000000"/>
          <w:kern w:val="0"/>
          <w:sz w:val="24"/>
          <w:szCs w:val="24"/>
        </w:rPr>
      </w:pPr>
    </w:p>
    <w:p w:rsidR="00B6244E" w:rsidRDefault="00667BD4">
      <w:pPr>
        <w:pStyle w:val="dazhangjie"/>
        <w:rPr>
          <w:color w:val="000000"/>
        </w:rPr>
      </w:pPr>
      <w:r>
        <w:rPr>
          <w:rFonts w:hAnsi="Calibri" w:hint="eastAsia"/>
          <w:b/>
          <w:color w:val="000000"/>
        </w:rPr>
        <w:t>§3  管理人报告</w:t>
      </w:r>
    </w:p>
    <w:p w:rsidR="00BB6A27" w:rsidRDefault="00BB6A27" w:rsidP="00BB6A27">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BB6A27" w:rsidRPr="000A15F0" w:rsidRDefault="00BB6A27" w:rsidP="000A15F0">
      <w:pPr>
        <w:spacing w:line="360" w:lineRule="auto"/>
        <w:ind w:firstLineChars="200" w:firstLine="480"/>
        <w:rPr>
          <w:rFonts w:ascii="宋体" w:hAnsi="宋体"/>
          <w:color w:val="000000"/>
          <w:kern w:val="0"/>
          <w:sz w:val="24"/>
          <w:szCs w:val="24"/>
        </w:rPr>
      </w:pPr>
      <w:r w:rsidRPr="00131DD9">
        <w:rPr>
          <w:rFonts w:ascii="宋体" w:hAnsi="宋体" w:hint="eastAsia"/>
          <w:color w:val="000000"/>
          <w:kern w:val="0"/>
          <w:sz w:val="24"/>
          <w:szCs w:val="24"/>
        </w:rPr>
        <w:t>上半年债市在国内稳增长、新冠疫情、俄乌冲突、海外通胀与美联储加息等内外部因素扰动下处于震荡走势，收益率曲线趋于陡峭。总体来看，今年上半年</w:t>
      </w:r>
      <w:r w:rsidRPr="00131DD9">
        <w:rPr>
          <w:rFonts w:ascii="宋体" w:hAnsi="宋体"/>
          <w:color w:val="000000"/>
          <w:kern w:val="0"/>
          <w:sz w:val="24"/>
          <w:szCs w:val="24"/>
        </w:rPr>
        <w:t>10</w:t>
      </w:r>
      <w:r w:rsidRPr="00131DD9">
        <w:rPr>
          <w:rFonts w:ascii="宋体" w:hAnsi="宋体" w:hint="eastAsia"/>
          <w:color w:val="000000"/>
          <w:kern w:val="0"/>
          <w:sz w:val="24"/>
          <w:szCs w:val="24"/>
        </w:rPr>
        <w:t>年期国债收益率上行</w:t>
      </w:r>
      <w:r w:rsidRPr="00131DD9">
        <w:rPr>
          <w:rFonts w:ascii="宋体" w:hAnsi="宋体"/>
          <w:color w:val="000000"/>
          <w:kern w:val="0"/>
          <w:sz w:val="24"/>
          <w:szCs w:val="24"/>
        </w:rPr>
        <w:t>4.5bp</w:t>
      </w:r>
      <w:r w:rsidRPr="00131DD9">
        <w:rPr>
          <w:rFonts w:ascii="宋体" w:hAnsi="宋体" w:hint="eastAsia"/>
          <w:color w:val="000000"/>
          <w:kern w:val="0"/>
          <w:sz w:val="24"/>
          <w:szCs w:val="24"/>
        </w:rPr>
        <w:t>至</w:t>
      </w:r>
      <w:r w:rsidRPr="00131DD9">
        <w:rPr>
          <w:rFonts w:ascii="宋体" w:hAnsi="宋体"/>
          <w:color w:val="000000"/>
          <w:kern w:val="0"/>
          <w:sz w:val="24"/>
          <w:szCs w:val="24"/>
        </w:rPr>
        <w:t>2.82%</w:t>
      </w:r>
      <w:r w:rsidRPr="00131DD9">
        <w:rPr>
          <w:rFonts w:ascii="宋体" w:hAnsi="宋体" w:hint="eastAsia"/>
          <w:color w:val="000000"/>
          <w:kern w:val="0"/>
          <w:sz w:val="24"/>
          <w:szCs w:val="24"/>
        </w:rPr>
        <w:t>，</w:t>
      </w:r>
      <w:r w:rsidRPr="00131DD9">
        <w:rPr>
          <w:rFonts w:ascii="宋体" w:hAnsi="宋体"/>
          <w:color w:val="000000"/>
          <w:kern w:val="0"/>
          <w:sz w:val="24"/>
          <w:szCs w:val="24"/>
        </w:rPr>
        <w:t>10</w:t>
      </w:r>
      <w:r w:rsidRPr="00131DD9">
        <w:rPr>
          <w:rFonts w:ascii="宋体" w:hAnsi="宋体" w:hint="eastAsia"/>
          <w:color w:val="000000"/>
          <w:kern w:val="0"/>
          <w:sz w:val="24"/>
          <w:szCs w:val="24"/>
        </w:rPr>
        <w:t>年期国开债收益率下行</w:t>
      </w:r>
      <w:r w:rsidRPr="00131DD9">
        <w:rPr>
          <w:rFonts w:ascii="宋体" w:hAnsi="宋体"/>
          <w:color w:val="000000"/>
          <w:kern w:val="0"/>
          <w:sz w:val="24"/>
          <w:szCs w:val="24"/>
        </w:rPr>
        <w:t>3.2bp</w:t>
      </w:r>
      <w:r w:rsidRPr="00131DD9">
        <w:rPr>
          <w:rFonts w:ascii="宋体" w:hAnsi="宋体" w:hint="eastAsia"/>
          <w:color w:val="000000"/>
          <w:kern w:val="0"/>
          <w:sz w:val="24"/>
          <w:szCs w:val="24"/>
        </w:rPr>
        <w:t>至</w:t>
      </w:r>
      <w:r w:rsidRPr="00131DD9">
        <w:rPr>
          <w:rFonts w:ascii="宋体" w:hAnsi="宋体"/>
          <w:color w:val="000000"/>
          <w:kern w:val="0"/>
          <w:sz w:val="24"/>
          <w:szCs w:val="24"/>
        </w:rPr>
        <w:t>3.05%</w:t>
      </w:r>
      <w:r w:rsidRPr="00131DD9">
        <w:rPr>
          <w:rFonts w:ascii="宋体" w:hAnsi="宋体" w:hint="eastAsia"/>
          <w:color w:val="000000"/>
          <w:kern w:val="0"/>
          <w:sz w:val="24"/>
          <w:szCs w:val="24"/>
        </w:rPr>
        <w:t>，中债新综合财富指数上涨</w:t>
      </w:r>
      <w:r w:rsidRPr="00131DD9">
        <w:rPr>
          <w:rFonts w:ascii="宋体" w:hAnsi="宋体"/>
          <w:color w:val="000000"/>
          <w:kern w:val="0"/>
          <w:sz w:val="24"/>
          <w:szCs w:val="24"/>
        </w:rPr>
        <w:t>1.85%</w:t>
      </w:r>
      <w:r w:rsidRPr="00131DD9">
        <w:rPr>
          <w:rFonts w:ascii="宋体" w:hAnsi="宋体" w:hint="eastAsia"/>
          <w:color w:val="000000"/>
          <w:kern w:val="0"/>
          <w:sz w:val="24"/>
          <w:szCs w:val="24"/>
        </w:rPr>
        <w:t>。</w:t>
      </w:r>
    </w:p>
    <w:p w:rsidR="00BB6A27" w:rsidRPr="00131DD9" w:rsidRDefault="00BB6A27" w:rsidP="00BB6A27">
      <w:pPr>
        <w:spacing w:line="360" w:lineRule="auto"/>
        <w:ind w:firstLineChars="200" w:firstLine="480"/>
        <w:rPr>
          <w:rFonts w:ascii="宋体" w:hAnsi="宋体"/>
          <w:color w:val="000000"/>
          <w:kern w:val="0"/>
          <w:sz w:val="24"/>
          <w:szCs w:val="24"/>
        </w:rPr>
      </w:pPr>
      <w:r w:rsidRPr="00131DD9">
        <w:rPr>
          <w:rFonts w:ascii="宋体" w:hAnsi="宋体" w:hint="eastAsia"/>
          <w:color w:val="000000"/>
          <w:kern w:val="0"/>
          <w:sz w:val="24"/>
          <w:szCs w:val="24"/>
        </w:rPr>
        <w:lastRenderedPageBreak/>
        <w:t>随着疫情对经济活动影响逐渐退潮，国内经济开始修复，预计对下阶段债券市场造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p>
    <w:p w:rsidR="00BB6A27" w:rsidRPr="000E3647" w:rsidRDefault="00BB6A27" w:rsidP="00BB6A27">
      <w:pPr>
        <w:spacing w:line="360" w:lineRule="auto"/>
        <w:ind w:firstLineChars="200" w:firstLine="480"/>
        <w:rPr>
          <w:rFonts w:ascii="宋体" w:hAnsi="宋体"/>
          <w:color w:val="000000"/>
          <w:kern w:val="0"/>
          <w:sz w:val="24"/>
          <w:szCs w:val="24"/>
        </w:rPr>
      </w:pPr>
      <w:r w:rsidRPr="00131DD9">
        <w:rPr>
          <w:rFonts w:ascii="宋体" w:hAnsi="宋体" w:hint="eastAsia"/>
          <w:color w:val="000000"/>
          <w:kern w:val="0"/>
          <w:sz w:val="24"/>
          <w:szCs w:val="24"/>
        </w:rPr>
        <w:t>本产品坚守流动性管理工具本质，维持持仓高流动性结构，并通过适时调整产品杠杆、久期水平维持产品净值相对平稳，以期为投资者创造较好的投资体验。往后看，债市尚未出现反转动力，产品将视负债端及市场环境积极操作，在控制回撤的前提下，积极为客户获取更佳的业绩回报</w:t>
      </w:r>
      <w:r>
        <w:rPr>
          <w:rFonts w:ascii="宋体" w:hAnsi="宋体" w:hint="eastAsia"/>
          <w:color w:val="000000"/>
          <w:kern w:val="0"/>
          <w:sz w:val="24"/>
          <w:szCs w:val="24"/>
        </w:rPr>
        <w:t>。</w:t>
      </w:r>
    </w:p>
    <w:p w:rsidR="00BB6A27" w:rsidRDefault="00BB6A27" w:rsidP="00BB6A27">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BB6A27" w:rsidRPr="000E3647" w:rsidRDefault="00BB6A27" w:rsidP="00BB6A27">
      <w:pPr>
        <w:spacing w:line="360" w:lineRule="auto"/>
        <w:ind w:firstLineChars="200" w:firstLine="480"/>
        <w:rPr>
          <w:rFonts w:ascii="宋体" w:hAnsi="宋体"/>
          <w:color w:val="000000"/>
          <w:kern w:val="0"/>
          <w:sz w:val="24"/>
          <w:szCs w:val="24"/>
        </w:rPr>
      </w:pPr>
      <w:r w:rsidRPr="00131DD9">
        <w:rPr>
          <w:rFonts w:ascii="宋体" w:hAnsi="宋体" w:hint="eastAsia"/>
          <w:color w:val="000000"/>
          <w:kern w:val="0"/>
          <w:sz w:val="24"/>
          <w:szCs w:val="24"/>
        </w:rPr>
        <w:t>本产品定位为流动性管理工具，持仓债券以高流动性资产为主，产品杠杆处于安全水平。</w:t>
      </w:r>
    </w:p>
    <w:p w:rsidR="00B6244E" w:rsidRDefault="00667BD4">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ED1C87" w:rsidRDefault="00ED1C87">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截至报告期末,本产品份额净值为1.0306元。</w:t>
      </w:r>
    </w:p>
    <w:p w:rsidR="0048201F" w:rsidRDefault="0048201F" w:rsidP="0048201F">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48201F" w:rsidRPr="003A4565" w:rsidRDefault="0048201F" w:rsidP="0048201F">
      <w:pPr>
        <w:pStyle w:val="a6"/>
        <w:rPr>
          <w:b/>
        </w:rPr>
      </w:pPr>
      <w:r w:rsidRPr="003A4565">
        <w:rPr>
          <w:b/>
        </w:rPr>
        <w:t>4.1</w:t>
      </w:r>
      <w:r w:rsidRPr="003A4565">
        <w:rPr>
          <w:rFonts w:hint="eastAsia"/>
          <w:b/>
        </w:rPr>
        <w:t>报告期内托管人遵规守信情况声明</w:t>
      </w:r>
    </w:p>
    <w:p w:rsidR="0048201F" w:rsidRPr="00EC5BB5" w:rsidRDefault="0048201F" w:rsidP="0048201F">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48201F" w:rsidRPr="003A4565" w:rsidRDefault="0048201F" w:rsidP="0048201F">
      <w:pPr>
        <w:pStyle w:val="a6"/>
        <w:rPr>
          <w:b/>
        </w:rPr>
      </w:pPr>
      <w:r w:rsidRPr="003A4565">
        <w:rPr>
          <w:b/>
        </w:rPr>
        <w:t xml:space="preserve">4.2 </w:t>
      </w:r>
      <w:r w:rsidRPr="003A4565">
        <w:rPr>
          <w:rFonts w:hint="eastAsia"/>
          <w:b/>
        </w:rPr>
        <w:t>托管人对报告期内投资运作遵规守信、净值计算、利润分配等情况的说明</w:t>
      </w:r>
    </w:p>
    <w:p w:rsidR="0048201F" w:rsidRPr="003A4565" w:rsidRDefault="0048201F" w:rsidP="0048201F">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00FE4C31"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8201F" w:rsidRDefault="0048201F" w:rsidP="0048201F">
      <w:pPr>
        <w:pStyle w:val="a6"/>
        <w:rPr>
          <w:b/>
          <w:color w:val="000000"/>
        </w:rPr>
      </w:pPr>
      <w:r>
        <w:rPr>
          <w:b/>
          <w:color w:val="000000"/>
        </w:rPr>
        <w:lastRenderedPageBreak/>
        <w:t xml:space="preserve">4.3 </w:t>
      </w:r>
      <w:r>
        <w:rPr>
          <w:rFonts w:hint="eastAsia"/>
          <w:b/>
          <w:color w:val="000000"/>
        </w:rPr>
        <w:t>托管人对本</w:t>
      </w:r>
      <w:r w:rsidR="00465F16">
        <w:rPr>
          <w:rFonts w:hint="eastAsia"/>
          <w:b/>
          <w:color w:val="000000"/>
        </w:rPr>
        <w:t>半</w:t>
      </w:r>
      <w:r>
        <w:rPr>
          <w:rFonts w:hint="eastAsia"/>
          <w:b/>
          <w:color w:val="000000"/>
        </w:rPr>
        <w:t>年度报告中财务信息等内容的真实、准确和完整发表意见</w:t>
      </w:r>
    </w:p>
    <w:p w:rsidR="00B6244E" w:rsidRPr="0048201F" w:rsidRDefault="0048201F" w:rsidP="0048201F">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p>
    <w:p w:rsidR="00B6244E" w:rsidRDefault="00667BD4">
      <w:pPr>
        <w:pStyle w:val="dazhangjie"/>
        <w:rPr>
          <w:color w:val="000000"/>
        </w:rPr>
      </w:pPr>
      <w:r>
        <w:rPr>
          <w:rFonts w:hAnsi="Calibri" w:hint="eastAsia"/>
          <w:b/>
          <w:color w:val="000000"/>
        </w:rPr>
        <w:t>§</w:t>
      </w:r>
      <w:r w:rsidR="0048201F">
        <w:rPr>
          <w:rFonts w:hAnsi="Calibri" w:hint="eastAsia"/>
          <w:b/>
          <w:color w:val="000000"/>
        </w:rPr>
        <w:t>5</w:t>
      </w:r>
      <w:r>
        <w:rPr>
          <w:rFonts w:hAnsi="Calibri" w:hint="eastAsia"/>
          <w:b/>
          <w:color w:val="000000"/>
        </w:rPr>
        <w:t xml:space="preserve">  投资组合报告</w:t>
      </w:r>
    </w:p>
    <w:p w:rsidR="00B6244E" w:rsidRDefault="0048201F">
      <w:pPr>
        <w:pStyle w:val="zhangjiep"/>
        <w:ind w:left="0"/>
      </w:pPr>
      <w:r>
        <w:rPr>
          <w:rFonts w:hint="eastAsia"/>
          <w:b/>
          <w:bCs/>
        </w:rPr>
        <w:t>5</w:t>
      </w:r>
      <w:r w:rsidR="00667BD4">
        <w:rPr>
          <w:rFonts w:hint="eastAsia"/>
          <w:b/>
          <w:bCs/>
        </w:rPr>
        <w:t>.1 报告期末产品资产组合情况</w:t>
      </w:r>
    </w:p>
    <w:tbl>
      <w:tblPr>
        <w:tblW w:w="0" w:type="auto"/>
        <w:tblInd w:w="108" w:type="dxa"/>
        <w:tblLayout w:type="fixed"/>
        <w:tblLook w:val="04A0"/>
      </w:tblPr>
      <w:tblGrid>
        <w:gridCol w:w="891"/>
        <w:gridCol w:w="3078"/>
        <w:gridCol w:w="2567"/>
        <w:gridCol w:w="2395"/>
      </w:tblGrid>
      <w:tr w:rsidR="00B6244E">
        <w:tc>
          <w:tcPr>
            <w:tcW w:w="891" w:type="dxa"/>
            <w:tcBorders>
              <w:top w:val="single" w:sz="8" w:space="0" w:color="000000"/>
              <w:left w:val="single" w:sz="8" w:space="0" w:color="000000"/>
              <w:bottom w:val="single" w:sz="8" w:space="0" w:color="000000"/>
              <w:right w:val="single" w:sz="8" w:space="0" w:color="000000"/>
            </w:tcBorders>
            <w:noWrap/>
            <w:vAlign w:val="bottom"/>
          </w:tcPr>
          <w:p w:rsidR="00B6244E" w:rsidRDefault="00667BD4">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B6244E" w:rsidRDefault="00667BD4">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rPr>
                <w:color w:val="000000"/>
              </w:rPr>
            </w:pPr>
            <w:r>
              <w:rPr>
                <w:rFonts w:hint="eastAsia"/>
                <w:color w:val="000000"/>
              </w:rPr>
              <w:t>穿透后占总资产比例</w:t>
            </w:r>
          </w:p>
        </w:tc>
      </w:tr>
      <w:tr w:rsidR="001E756A">
        <w:tc>
          <w:tcPr>
            <w:tcW w:w="891" w:type="dxa"/>
            <w:tcBorders>
              <w:top w:val="single" w:sz="8" w:space="0" w:color="000000"/>
              <w:left w:val="single" w:sz="8" w:space="0" w:color="000000"/>
              <w:bottom w:val="single" w:sz="8" w:space="0" w:color="000000"/>
              <w:right w:val="single" w:sz="8" w:space="0" w:color="000000"/>
            </w:tcBorders>
            <w:noWrap/>
            <w:vAlign w:val="bottom"/>
          </w:tcPr>
          <w:p w:rsidR="001E756A" w:rsidRDefault="001E756A">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100.00%</w:t>
            </w:r>
          </w:p>
        </w:tc>
      </w:tr>
      <w:tr w:rsidR="001E756A">
        <w:tc>
          <w:tcPr>
            <w:tcW w:w="891" w:type="dxa"/>
            <w:tcBorders>
              <w:top w:val="single" w:sz="8" w:space="0" w:color="000000"/>
              <w:left w:val="single" w:sz="8" w:space="0" w:color="000000"/>
              <w:bottom w:val="single" w:sz="8" w:space="0" w:color="000000"/>
              <w:right w:val="single" w:sz="8" w:space="0" w:color="000000"/>
            </w:tcBorders>
            <w:noWrap/>
            <w:vAlign w:val="bottom"/>
          </w:tcPr>
          <w:p w:rsidR="001E756A" w:rsidRDefault="001E756A">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0.00%</w:t>
            </w:r>
          </w:p>
        </w:tc>
      </w:tr>
      <w:tr w:rsidR="001E756A">
        <w:tc>
          <w:tcPr>
            <w:tcW w:w="891" w:type="dxa"/>
            <w:tcBorders>
              <w:top w:val="single" w:sz="8" w:space="0" w:color="000000"/>
              <w:left w:val="single" w:sz="8" w:space="0" w:color="000000"/>
              <w:bottom w:val="single" w:sz="8" w:space="0" w:color="000000"/>
              <w:right w:val="single" w:sz="8" w:space="0" w:color="000000"/>
            </w:tcBorders>
            <w:noWrap/>
            <w:vAlign w:val="bottom"/>
          </w:tcPr>
          <w:p w:rsidR="001E756A" w:rsidRDefault="001E756A">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0.00%</w:t>
            </w:r>
          </w:p>
        </w:tc>
      </w:tr>
      <w:tr w:rsidR="001E756A">
        <w:tc>
          <w:tcPr>
            <w:tcW w:w="891" w:type="dxa"/>
            <w:tcBorders>
              <w:top w:val="single" w:sz="8" w:space="0" w:color="000000"/>
              <w:left w:val="single" w:sz="8" w:space="0" w:color="000000"/>
              <w:bottom w:val="single" w:sz="8" w:space="0" w:color="000000"/>
              <w:right w:val="single" w:sz="8" w:space="0" w:color="000000"/>
            </w:tcBorders>
            <w:noWrap/>
            <w:vAlign w:val="bottom"/>
          </w:tcPr>
          <w:p w:rsidR="001E756A" w:rsidRDefault="001E756A">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0.00%</w:t>
            </w:r>
          </w:p>
        </w:tc>
      </w:tr>
      <w:tr w:rsidR="001E756A">
        <w:tc>
          <w:tcPr>
            <w:tcW w:w="891" w:type="dxa"/>
            <w:tcBorders>
              <w:top w:val="single" w:sz="8" w:space="0" w:color="000000"/>
              <w:left w:val="single" w:sz="8" w:space="0" w:color="000000"/>
              <w:bottom w:val="single" w:sz="8" w:space="0" w:color="000000"/>
              <w:right w:val="single" w:sz="8" w:space="0" w:color="000000"/>
            </w:tcBorders>
            <w:noWrap/>
            <w:vAlign w:val="bottom"/>
          </w:tcPr>
          <w:p w:rsidR="001E756A" w:rsidRDefault="001E756A">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1E756A" w:rsidRPr="00191403" w:rsidRDefault="001E756A" w:rsidP="009A21D1">
            <w:pPr>
              <w:pStyle w:val="biaogecenter"/>
              <w:rPr>
                <w:color w:val="000000"/>
              </w:rPr>
            </w:pPr>
            <w:r w:rsidRPr="00191403">
              <w:rPr>
                <w:rFonts w:hint="eastAsia"/>
                <w:color w:val="000000"/>
              </w:rPr>
              <w:t>100.00%</w:t>
            </w:r>
          </w:p>
        </w:tc>
      </w:tr>
    </w:tbl>
    <w:p w:rsidR="00B6244E" w:rsidRDefault="00B6244E">
      <w:pPr>
        <w:widowControl/>
        <w:jc w:val="left"/>
        <w:rPr>
          <w:rFonts w:ascii="宋体" w:hAnsi="宋体" w:cs="宋体"/>
          <w:color w:val="000000"/>
          <w:kern w:val="0"/>
          <w:sz w:val="24"/>
          <w:szCs w:val="24"/>
        </w:rPr>
      </w:pPr>
      <w:bookmarkStart w:id="0" w:name="_GoBack"/>
      <w:bookmarkEnd w:id="0"/>
    </w:p>
    <w:p w:rsidR="00B6244E" w:rsidRDefault="0048201F">
      <w:pPr>
        <w:pStyle w:val="zhangjiep"/>
        <w:rPr>
          <w:b/>
          <w:bCs/>
          <w:color w:val="000000"/>
        </w:rPr>
      </w:pPr>
      <w:r>
        <w:rPr>
          <w:rFonts w:hint="eastAsia"/>
          <w:b/>
          <w:bCs/>
          <w:color w:val="000000"/>
        </w:rPr>
        <w:t>5</w:t>
      </w:r>
      <w:r w:rsidR="00667BD4">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B6244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B6244E" w:rsidRDefault="00667BD4">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B6244E" w:rsidRDefault="00667BD4">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B6244E" w:rsidRDefault="00667BD4">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B6244E" w:rsidRDefault="00667BD4">
            <w:pPr>
              <w:pStyle w:val="biaogecenter"/>
              <w:wordWrap w:val="0"/>
              <w:rPr>
                <w:color w:val="000000"/>
              </w:rPr>
            </w:pPr>
            <w:r>
              <w:rPr>
                <w:rFonts w:hint="eastAsia"/>
                <w:color w:val="000000"/>
              </w:rPr>
              <w:t>占产品资产净值比例（％）</w:t>
            </w:r>
          </w:p>
        </w:tc>
      </w:tr>
      <w:tr w:rsidR="0085538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55380" w:rsidRDefault="00855380">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55380" w:rsidRPr="00855380" w:rsidRDefault="00855380" w:rsidP="00855380">
            <w:pPr>
              <w:pStyle w:val="biaogecenter"/>
              <w:wordWrap w:val="0"/>
              <w:rPr>
                <w:color w:val="000000"/>
              </w:rPr>
            </w:pPr>
            <w:r w:rsidRPr="00855380">
              <w:rPr>
                <w:rFonts w:hint="eastAsia"/>
                <w:color w:val="000000"/>
              </w:rPr>
              <w:t>031771022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pPr>
              <w:rPr>
                <w:rFonts w:ascii="宋体" w:hAnsi="宋体" w:cs="宋体"/>
                <w:color w:val="000000"/>
                <w:kern w:val="0"/>
                <w:sz w:val="24"/>
                <w:szCs w:val="24"/>
              </w:rPr>
            </w:pPr>
            <w:r w:rsidRPr="00855380">
              <w:rPr>
                <w:rFonts w:ascii="宋体" w:hAnsi="宋体" w:cs="宋体" w:hint="eastAsia"/>
                <w:color w:val="000000"/>
                <w:kern w:val="0"/>
                <w:sz w:val="24"/>
                <w:szCs w:val="24"/>
              </w:rPr>
              <w:t>17武进经发PPN001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pPr>
              <w:jc w:val="right"/>
              <w:rPr>
                <w:rFonts w:ascii="宋体" w:hAnsi="宋体" w:cs="宋体"/>
                <w:color w:val="000000"/>
                <w:kern w:val="0"/>
                <w:sz w:val="24"/>
                <w:szCs w:val="24"/>
              </w:rPr>
            </w:pPr>
            <w:r w:rsidRPr="00855380">
              <w:rPr>
                <w:rFonts w:ascii="宋体" w:hAnsi="宋体" w:cs="宋体" w:hint="eastAsia"/>
                <w:color w:val="000000"/>
                <w:kern w:val="0"/>
                <w:sz w:val="24"/>
                <w:szCs w:val="24"/>
              </w:rPr>
              <w:t>175,256,025.00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pPr>
              <w:jc w:val="right"/>
              <w:rPr>
                <w:rFonts w:ascii="宋体" w:hAnsi="宋体" w:cs="宋体"/>
                <w:color w:val="000000"/>
                <w:kern w:val="0"/>
                <w:sz w:val="24"/>
                <w:szCs w:val="24"/>
              </w:rPr>
            </w:pPr>
            <w:r w:rsidRPr="00855380">
              <w:rPr>
                <w:rFonts w:ascii="宋体" w:hAnsi="宋体" w:cs="宋体" w:hint="eastAsia"/>
                <w:color w:val="000000"/>
                <w:kern w:val="0"/>
                <w:sz w:val="24"/>
                <w:szCs w:val="24"/>
              </w:rPr>
              <w:t>1.64</w:t>
            </w:r>
          </w:p>
        </w:tc>
      </w:tr>
      <w:tr w:rsidR="0085538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55380" w:rsidRDefault="00855380">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55380" w:rsidRPr="00855380" w:rsidRDefault="00855380" w:rsidP="00855380">
            <w:pPr>
              <w:pStyle w:val="biaogecenter"/>
              <w:wordWrap w:val="0"/>
              <w:rPr>
                <w:color w:val="000000"/>
              </w:rPr>
            </w:pPr>
            <w:r w:rsidRPr="00855380">
              <w:rPr>
                <w:rFonts w:hint="eastAsia"/>
                <w:color w:val="000000"/>
              </w:rPr>
              <w:t>1928013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19民生银行永续债</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163,407,680.00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1.53</w:t>
            </w:r>
          </w:p>
        </w:tc>
      </w:tr>
      <w:tr w:rsidR="0085538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55380" w:rsidRDefault="00855380">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55380" w:rsidRPr="00855380" w:rsidRDefault="00855380" w:rsidP="00855380">
            <w:pPr>
              <w:pStyle w:val="biaogecenter"/>
              <w:wordWrap w:val="0"/>
              <w:rPr>
                <w:color w:val="000000"/>
              </w:rPr>
            </w:pPr>
            <w:r w:rsidRPr="00855380">
              <w:rPr>
                <w:rFonts w:hint="eastAsia"/>
                <w:color w:val="000000"/>
              </w:rPr>
              <w:t>031758013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17华靖资产PPN001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150,778,500.00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1.41</w:t>
            </w:r>
          </w:p>
        </w:tc>
      </w:tr>
      <w:tr w:rsidR="0085538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55380" w:rsidRDefault="00855380">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55380" w:rsidRPr="00855380" w:rsidRDefault="00855380" w:rsidP="00855380">
            <w:pPr>
              <w:pStyle w:val="biaogecenter"/>
              <w:wordWrap w:val="0"/>
              <w:rPr>
                <w:color w:val="000000"/>
              </w:rPr>
            </w:pPr>
            <w:r w:rsidRPr="00855380">
              <w:rPr>
                <w:rFonts w:hint="eastAsia"/>
                <w:color w:val="000000"/>
              </w:rPr>
              <w:t>166522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20泰交01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140,000,429.17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1.31</w:t>
            </w:r>
          </w:p>
        </w:tc>
      </w:tr>
      <w:tr w:rsidR="0085538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55380" w:rsidRDefault="00855380">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55380" w:rsidRPr="00855380" w:rsidRDefault="00855380" w:rsidP="00855380">
            <w:pPr>
              <w:pStyle w:val="biaogecenter"/>
              <w:wordWrap w:val="0"/>
              <w:rPr>
                <w:color w:val="000000"/>
              </w:rPr>
            </w:pPr>
            <w:r w:rsidRPr="00855380">
              <w:rPr>
                <w:rFonts w:hint="eastAsia"/>
                <w:color w:val="000000"/>
              </w:rPr>
              <w:t>101771006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17泰州滨江MTN001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130,507,000.00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1.22</w:t>
            </w:r>
          </w:p>
        </w:tc>
      </w:tr>
      <w:tr w:rsidR="0085538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55380" w:rsidRDefault="00855380">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55380" w:rsidRPr="00855380" w:rsidRDefault="00855380" w:rsidP="00855380">
            <w:pPr>
              <w:pStyle w:val="biaogecenter"/>
              <w:wordWrap w:val="0"/>
              <w:rPr>
                <w:color w:val="000000"/>
              </w:rPr>
            </w:pPr>
            <w:r w:rsidRPr="00855380">
              <w:rPr>
                <w:rFonts w:hint="eastAsia"/>
                <w:color w:val="000000"/>
              </w:rPr>
              <w:t>1780417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17金华融盛债</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125,663,400.00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1.18</w:t>
            </w:r>
          </w:p>
        </w:tc>
      </w:tr>
      <w:tr w:rsidR="0085538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55380" w:rsidRDefault="00855380">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55380" w:rsidRPr="00855380" w:rsidRDefault="00855380" w:rsidP="00855380">
            <w:pPr>
              <w:pStyle w:val="biaogecenter"/>
              <w:wordWrap w:val="0"/>
              <w:rPr>
                <w:color w:val="000000"/>
              </w:rPr>
            </w:pPr>
            <w:r w:rsidRPr="00855380">
              <w:rPr>
                <w:rFonts w:hint="eastAsia"/>
                <w:color w:val="000000"/>
              </w:rPr>
              <w:t>196463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22萧城01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109,864,700.00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1.03</w:t>
            </w:r>
          </w:p>
        </w:tc>
      </w:tr>
      <w:tr w:rsidR="0085538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55380" w:rsidRDefault="00855380">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55380" w:rsidRPr="00855380" w:rsidRDefault="00855380" w:rsidP="00855380">
            <w:pPr>
              <w:pStyle w:val="biaogecenter"/>
              <w:wordWrap w:val="0"/>
              <w:rPr>
                <w:color w:val="000000"/>
              </w:rPr>
            </w:pPr>
            <w:r w:rsidRPr="00855380">
              <w:rPr>
                <w:rFonts w:hint="eastAsia"/>
                <w:color w:val="000000"/>
              </w:rPr>
              <w:t>101900093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19溧水城建MTN001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102,842,000.00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0.96</w:t>
            </w:r>
          </w:p>
        </w:tc>
      </w:tr>
      <w:tr w:rsidR="00855380">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55380" w:rsidRDefault="00855380">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55380" w:rsidRPr="00855380" w:rsidRDefault="00855380" w:rsidP="00855380">
            <w:pPr>
              <w:pStyle w:val="biaogecenter"/>
              <w:wordWrap w:val="0"/>
              <w:rPr>
                <w:color w:val="000000"/>
              </w:rPr>
            </w:pPr>
            <w:r w:rsidRPr="00855380">
              <w:rPr>
                <w:rFonts w:hint="eastAsia"/>
                <w:color w:val="000000"/>
              </w:rPr>
              <w:t>102000856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20镇国投MTN001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101,918,300.00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0.95</w:t>
            </w:r>
          </w:p>
        </w:tc>
      </w:tr>
      <w:tr w:rsidR="0085538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55380" w:rsidRDefault="00855380">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855380" w:rsidRPr="00855380" w:rsidRDefault="00855380" w:rsidP="00855380">
            <w:pPr>
              <w:pStyle w:val="biaogecenter"/>
              <w:wordWrap w:val="0"/>
              <w:rPr>
                <w:color w:val="000000"/>
              </w:rPr>
            </w:pPr>
            <w:r w:rsidRPr="00855380">
              <w:rPr>
                <w:rFonts w:hint="eastAsia"/>
                <w:color w:val="000000"/>
              </w:rPr>
              <w:t>032000775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20湘江新区PPN001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101,517,900.00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855380" w:rsidRPr="00855380" w:rsidRDefault="00855380" w:rsidP="00855380">
            <w:pPr>
              <w:pStyle w:val="biaogecenter"/>
              <w:wordWrap w:val="0"/>
              <w:rPr>
                <w:color w:val="000000"/>
              </w:rPr>
            </w:pPr>
            <w:r w:rsidRPr="00855380">
              <w:rPr>
                <w:rFonts w:hint="eastAsia"/>
                <w:color w:val="000000"/>
              </w:rPr>
              <w:t>0.95</w:t>
            </w:r>
          </w:p>
        </w:tc>
      </w:tr>
    </w:tbl>
    <w:p w:rsidR="00B6244E" w:rsidRDefault="00B6244E">
      <w:pPr>
        <w:widowControl/>
        <w:jc w:val="left"/>
        <w:rPr>
          <w:rFonts w:ascii="宋体" w:hAnsi="宋体" w:cs="宋体"/>
          <w:b/>
          <w:sz w:val="24"/>
          <w:szCs w:val="24"/>
          <w:shd w:val="clear" w:color="auto" w:fill="FFFFFF"/>
        </w:rPr>
      </w:pPr>
    </w:p>
    <w:p w:rsidR="00B6244E" w:rsidRDefault="0048201F">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5</w:t>
      </w:r>
      <w:r w:rsidR="00667BD4">
        <w:rPr>
          <w:rFonts w:ascii="宋体" w:hAnsi="宋体" w:cs="宋体" w:hint="eastAsia"/>
          <w:b/>
          <w:sz w:val="24"/>
          <w:szCs w:val="24"/>
          <w:shd w:val="clear" w:color="auto" w:fill="FFFFFF"/>
        </w:rPr>
        <w:t>.3报告期末非标准化债权类资产明细</w:t>
      </w:r>
    </w:p>
    <w:p w:rsidR="00B6244E" w:rsidRDefault="00B6244E">
      <w:pPr>
        <w:widowControl/>
        <w:jc w:val="left"/>
        <w:rPr>
          <w:b/>
          <w:shd w:val="clear" w:color="auto" w:fill="FFFFFF"/>
        </w:rPr>
      </w:pPr>
    </w:p>
    <w:tbl>
      <w:tblPr>
        <w:tblW w:w="0" w:type="auto"/>
        <w:tblInd w:w="108" w:type="dxa"/>
        <w:tblLayout w:type="fixed"/>
        <w:tblLook w:val="04A0"/>
      </w:tblPr>
      <w:tblGrid>
        <w:gridCol w:w="709"/>
        <w:gridCol w:w="1276"/>
        <w:gridCol w:w="1701"/>
        <w:gridCol w:w="1417"/>
        <w:gridCol w:w="1701"/>
        <w:gridCol w:w="1276"/>
        <w:gridCol w:w="851"/>
      </w:tblGrid>
      <w:tr w:rsidR="00B6244E">
        <w:tc>
          <w:tcPr>
            <w:tcW w:w="709"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风险状况</w:t>
            </w:r>
          </w:p>
        </w:tc>
      </w:tr>
      <w:tr w:rsidR="00B6244E">
        <w:tc>
          <w:tcPr>
            <w:tcW w:w="709"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rFonts w:hAnsi="Calibri"/>
                <w:shd w:val="clear" w:color="auto" w:fill="FFFFFF"/>
              </w:rPr>
            </w:pPr>
            <w:r>
              <w:rPr>
                <w:rFonts w:hAnsi="Calibri" w:hint="eastAsia"/>
                <w:shd w:val="clear" w:color="auto" w:fill="FFFFFF"/>
              </w:rPr>
              <w:t>-</w:t>
            </w:r>
          </w:p>
        </w:tc>
      </w:tr>
    </w:tbl>
    <w:p w:rsidR="00B6244E" w:rsidRDefault="00B6244E">
      <w:pPr>
        <w:widowControl/>
        <w:jc w:val="left"/>
        <w:rPr>
          <w:rFonts w:ascii="宋体" w:hAnsi="宋体" w:cs="宋体"/>
          <w:color w:val="000000"/>
          <w:kern w:val="0"/>
          <w:sz w:val="24"/>
          <w:szCs w:val="24"/>
        </w:rPr>
      </w:pPr>
    </w:p>
    <w:p w:rsidR="00B6244E" w:rsidRDefault="00667BD4">
      <w:pPr>
        <w:pStyle w:val="dazhangjie"/>
        <w:rPr>
          <w:b/>
          <w:bCs/>
          <w:color w:val="000000"/>
        </w:rPr>
      </w:pPr>
      <w:r>
        <w:rPr>
          <w:rFonts w:hint="eastAsia"/>
          <w:b/>
          <w:bCs/>
          <w:color w:val="000000"/>
        </w:rPr>
        <w:lastRenderedPageBreak/>
        <w:t>§</w:t>
      </w:r>
      <w:r w:rsidR="0048201F">
        <w:rPr>
          <w:rFonts w:hint="eastAsia"/>
          <w:b/>
          <w:bCs/>
          <w:color w:val="000000"/>
        </w:rPr>
        <w:t>6</w:t>
      </w:r>
      <w:r>
        <w:rPr>
          <w:rFonts w:hint="eastAsia"/>
          <w:b/>
          <w:bCs/>
          <w:color w:val="000000"/>
        </w:rPr>
        <w:t xml:space="preserve"> 投资账户信息</w:t>
      </w:r>
    </w:p>
    <w:tbl>
      <w:tblPr>
        <w:tblW w:w="4943" w:type="pct"/>
        <w:tblInd w:w="102" w:type="dxa"/>
        <w:tblLook w:val="04A0"/>
      </w:tblPr>
      <w:tblGrid>
        <w:gridCol w:w="711"/>
        <w:gridCol w:w="1297"/>
        <w:gridCol w:w="2485"/>
        <w:gridCol w:w="3409"/>
        <w:gridCol w:w="1298"/>
      </w:tblGrid>
      <w:tr w:rsidR="00B6244E">
        <w:trPr>
          <w:trHeight w:val="705"/>
        </w:trPr>
        <w:tc>
          <w:tcPr>
            <w:tcW w:w="367" w:type="pct"/>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rPr>
                <w:shd w:val="clear" w:color="auto" w:fill="FFFFFF"/>
              </w:rPr>
            </w:pPr>
            <w:r>
              <w:rPr>
                <w:rFonts w:hAnsi="Calibri" w:hint="eastAsia"/>
                <w:shd w:val="clear" w:color="auto" w:fill="FFFFFF"/>
              </w:rPr>
              <w:t>序号</w:t>
            </w:r>
          </w:p>
        </w:tc>
        <w:tc>
          <w:tcPr>
            <w:tcW w:w="710" w:type="pct"/>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账户类型</w:t>
            </w:r>
          </w:p>
        </w:tc>
        <w:tc>
          <w:tcPr>
            <w:tcW w:w="1354" w:type="pct"/>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Ansi="Calibri" w:hint="eastAsia"/>
                <w:shd w:val="clear" w:color="auto" w:fill="FFFFFF"/>
              </w:rPr>
              <w:t>账号</w:t>
            </w:r>
          </w:p>
        </w:tc>
        <w:tc>
          <w:tcPr>
            <w:tcW w:w="1856" w:type="pct"/>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账户名称</w:t>
            </w:r>
          </w:p>
        </w:tc>
        <w:tc>
          <w:tcPr>
            <w:tcW w:w="710" w:type="pct"/>
            <w:tcBorders>
              <w:top w:val="single" w:sz="8" w:space="0" w:color="000000"/>
              <w:left w:val="single" w:sz="8" w:space="0" w:color="000000"/>
              <w:bottom w:val="single" w:sz="6" w:space="0" w:color="000000"/>
              <w:right w:val="single" w:sz="8" w:space="0" w:color="000000"/>
            </w:tcBorders>
            <w:noWrap/>
            <w:vAlign w:val="center"/>
          </w:tcPr>
          <w:p w:rsidR="00B6244E" w:rsidRDefault="00667BD4">
            <w:pPr>
              <w:pStyle w:val="biaogecenter"/>
              <w:wordWrap w:val="0"/>
              <w:rPr>
                <w:shd w:val="clear" w:color="auto" w:fill="FFFFFF"/>
              </w:rPr>
            </w:pPr>
            <w:r>
              <w:rPr>
                <w:rFonts w:hint="eastAsia"/>
                <w:shd w:val="clear" w:color="auto" w:fill="FFFFFF"/>
              </w:rPr>
              <w:t>开户单位</w:t>
            </w:r>
          </w:p>
        </w:tc>
      </w:tr>
      <w:tr w:rsidR="00B6244E">
        <w:trPr>
          <w:trHeight w:val="364"/>
        </w:trPr>
        <w:tc>
          <w:tcPr>
            <w:tcW w:w="367" w:type="pct"/>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shd w:val="clear" w:color="auto" w:fill="FFFFFF"/>
              </w:rPr>
            </w:pPr>
            <w:r>
              <w:rPr>
                <w:rFonts w:hAnsi="Calibri" w:hint="eastAsia"/>
                <w:shd w:val="clear" w:color="auto" w:fill="FFFFFF"/>
              </w:rPr>
              <w:t>1</w:t>
            </w:r>
          </w:p>
        </w:tc>
        <w:tc>
          <w:tcPr>
            <w:tcW w:w="710" w:type="pct"/>
            <w:tcBorders>
              <w:top w:val="single" w:sz="8" w:space="0" w:color="000000"/>
              <w:left w:val="single" w:sz="8" w:space="0" w:color="000000"/>
              <w:bottom w:val="single" w:sz="8" w:space="0" w:color="000000"/>
              <w:right w:val="single" w:sz="8" w:space="0" w:color="000000"/>
            </w:tcBorders>
            <w:noWrap/>
            <w:vAlign w:val="bottom"/>
          </w:tcPr>
          <w:p w:rsidR="00B6244E" w:rsidRDefault="00667BD4">
            <w:pPr>
              <w:pStyle w:val="biaogecenter"/>
              <w:wordWrap w:val="0"/>
              <w:rPr>
                <w:shd w:val="clear" w:color="auto" w:fill="FFFFFF"/>
              </w:rPr>
            </w:pPr>
            <w:r>
              <w:rPr>
                <w:shd w:val="clear" w:color="auto" w:fill="FFFFFF"/>
              </w:rPr>
              <w:t>托管账户</w:t>
            </w:r>
          </w:p>
        </w:tc>
        <w:tc>
          <w:tcPr>
            <w:tcW w:w="1354" w:type="pct"/>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shd w:val="clear" w:color="auto" w:fill="FFFFFF"/>
              </w:rPr>
            </w:pPr>
            <w:r>
              <w:rPr>
                <w:shd w:val="clear" w:color="auto" w:fill="FFFFFF"/>
              </w:rPr>
              <w:t>01640124840000194</w:t>
            </w:r>
          </w:p>
        </w:tc>
        <w:tc>
          <w:tcPr>
            <w:tcW w:w="1856" w:type="pct"/>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shd w:val="clear" w:color="auto" w:fill="FFFFFF"/>
              </w:rPr>
            </w:pPr>
            <w:r>
              <w:rPr>
                <w:shd w:val="clear" w:color="auto" w:fill="FFFFFF"/>
              </w:rPr>
              <w:t>南京银行珠联璧合理财计划</w:t>
            </w:r>
          </w:p>
        </w:tc>
        <w:tc>
          <w:tcPr>
            <w:tcW w:w="710" w:type="pct"/>
            <w:tcBorders>
              <w:top w:val="single" w:sz="8" w:space="0" w:color="000000"/>
              <w:left w:val="single" w:sz="8" w:space="0" w:color="000000"/>
              <w:bottom w:val="single" w:sz="8" w:space="0" w:color="000000"/>
              <w:right w:val="single" w:sz="8" w:space="0" w:color="000000"/>
            </w:tcBorders>
            <w:noWrap/>
            <w:vAlign w:val="center"/>
          </w:tcPr>
          <w:p w:rsidR="00B6244E" w:rsidRDefault="00667BD4">
            <w:pPr>
              <w:pStyle w:val="biaogecenter"/>
              <w:wordWrap w:val="0"/>
              <w:rPr>
                <w:shd w:val="clear" w:color="auto" w:fill="FFFFFF"/>
              </w:rPr>
            </w:pPr>
            <w:r>
              <w:rPr>
                <w:shd w:val="clear" w:color="auto" w:fill="FFFFFF"/>
              </w:rPr>
              <w:t>南京银行</w:t>
            </w:r>
          </w:p>
        </w:tc>
      </w:tr>
    </w:tbl>
    <w:p w:rsidR="00B6244E" w:rsidRDefault="00B6244E">
      <w:pPr>
        <w:pStyle w:val="dazhangjie"/>
        <w:rPr>
          <w:b/>
          <w:bCs/>
          <w:color w:val="000000"/>
        </w:rPr>
      </w:pPr>
    </w:p>
    <w:p w:rsidR="0048201F" w:rsidRDefault="0048201F" w:rsidP="0048201F">
      <w:pPr>
        <w:pStyle w:val="biaogeright"/>
        <w:jc w:val="center"/>
        <w:rPr>
          <w:b/>
          <w:bCs/>
          <w:color w:val="000000"/>
        </w:rPr>
      </w:pPr>
      <w:r>
        <w:rPr>
          <w:rFonts w:hint="eastAsia"/>
          <w:b/>
          <w:bCs/>
          <w:color w:val="000000"/>
        </w:rPr>
        <w:t>§7 关联交易情况</w:t>
      </w:r>
    </w:p>
    <w:p w:rsidR="004657EE" w:rsidRDefault="004657EE" w:rsidP="004657E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hAnsi="宋体"/>
          <w:sz w:val="24"/>
        </w:rPr>
        <w:t>20,004,767.12</w:t>
      </w:r>
      <w:r>
        <w:rPr>
          <w:rFonts w:ascii="宋体" w:hAnsi="宋体" w:hint="eastAsia"/>
          <w:sz w:val="24"/>
        </w:rPr>
        <w:t>元。</w:t>
      </w:r>
    </w:p>
    <w:p w:rsidR="004657EE" w:rsidRDefault="004657EE" w:rsidP="004657E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110,023,572.60</w:t>
      </w:r>
      <w:r>
        <w:rPr>
          <w:rFonts w:ascii="宋体" w:hAnsi="宋体" w:hint="eastAsia"/>
          <w:sz w:val="24"/>
        </w:rPr>
        <w:t>元。</w:t>
      </w:r>
    </w:p>
    <w:p w:rsidR="004657EE" w:rsidRDefault="004657EE" w:rsidP="004657E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hAnsi="宋体"/>
          <w:sz w:val="24"/>
        </w:rPr>
        <w:t>51,425,000.00</w:t>
      </w:r>
      <w:r>
        <w:rPr>
          <w:rFonts w:ascii="宋体" w:hAnsi="宋体" w:hint="eastAsia"/>
          <w:sz w:val="24"/>
        </w:rPr>
        <w:t>元。</w:t>
      </w:r>
    </w:p>
    <w:p w:rsidR="004657EE" w:rsidRDefault="004657EE" w:rsidP="004657E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4657EE" w:rsidRDefault="004657EE" w:rsidP="004657E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BA2EDA">
        <w:rPr>
          <w:rFonts w:ascii="宋体" w:hAnsi="宋体" w:hint="eastAsia"/>
          <w:sz w:val="24"/>
        </w:rPr>
        <w:t>应</w:t>
      </w:r>
      <w:r>
        <w:rPr>
          <w:rFonts w:ascii="宋体" w:hAnsi="宋体" w:hint="eastAsia"/>
          <w:sz w:val="24"/>
        </w:rPr>
        <w:t>支付关联方托管费</w:t>
      </w:r>
      <w:r>
        <w:rPr>
          <w:rFonts w:ascii="宋体" w:hAnsi="宋体"/>
          <w:sz w:val="24"/>
        </w:rPr>
        <w:t>1,038,770.91</w:t>
      </w:r>
      <w:r>
        <w:rPr>
          <w:rFonts w:ascii="宋体" w:hAnsi="宋体" w:hint="eastAsia"/>
          <w:sz w:val="24"/>
        </w:rPr>
        <w:t>元，</w:t>
      </w:r>
      <w:r w:rsidR="00BA2EDA">
        <w:rPr>
          <w:rFonts w:ascii="宋体" w:hAnsi="宋体" w:hint="eastAsia"/>
          <w:sz w:val="24"/>
        </w:rPr>
        <w:t>应</w:t>
      </w:r>
      <w:r>
        <w:rPr>
          <w:rFonts w:ascii="宋体" w:hAnsi="宋体" w:hint="eastAsia"/>
          <w:sz w:val="24"/>
        </w:rPr>
        <w:t>支付关联方代销费</w:t>
      </w:r>
      <w:r>
        <w:rPr>
          <w:rFonts w:ascii="宋体" w:hAnsi="宋体"/>
          <w:sz w:val="24"/>
        </w:rPr>
        <w:t>12,366,737.22</w:t>
      </w:r>
      <w:r>
        <w:rPr>
          <w:rFonts w:ascii="宋体" w:hAnsi="宋体" w:hint="eastAsia"/>
          <w:sz w:val="24"/>
        </w:rPr>
        <w:t>元。</w:t>
      </w:r>
    </w:p>
    <w:p w:rsidR="004657EE" w:rsidRDefault="004657EE" w:rsidP="004657E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4657EE" w:rsidRDefault="004657EE" w:rsidP="004657E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B6244E" w:rsidRPr="004657EE" w:rsidRDefault="00B6244E">
      <w:pPr>
        <w:pStyle w:val="a6"/>
        <w:rPr>
          <w:b/>
          <w:color w:val="000000"/>
        </w:rPr>
      </w:pPr>
    </w:p>
    <w:p w:rsidR="00B6244E" w:rsidRDefault="00B6244E">
      <w:pPr>
        <w:widowControl/>
        <w:jc w:val="left"/>
        <w:rPr>
          <w:color w:val="000000"/>
        </w:rPr>
      </w:pPr>
    </w:p>
    <w:p w:rsidR="00B6244E" w:rsidRDefault="00667BD4">
      <w:pPr>
        <w:pStyle w:val="biaogeright"/>
        <w:rPr>
          <w:rFonts w:hAnsi="Calibri"/>
          <w:b/>
          <w:bCs/>
          <w:color w:val="000000"/>
        </w:rPr>
      </w:pPr>
      <w:r>
        <w:rPr>
          <w:rFonts w:hAnsi="Calibri" w:hint="eastAsia"/>
          <w:b/>
          <w:bCs/>
          <w:color w:val="000000"/>
        </w:rPr>
        <w:t>南银理财有限责任公司</w:t>
      </w:r>
    </w:p>
    <w:p w:rsidR="00B6244E" w:rsidRDefault="00ED1C87" w:rsidP="00ED1C87">
      <w:pPr>
        <w:pStyle w:val="biaogeright"/>
        <w:rPr>
          <w:rFonts w:hAnsi="Calibri"/>
          <w:b/>
          <w:bCs/>
          <w:color w:val="000000"/>
        </w:rPr>
      </w:pPr>
      <w:r>
        <w:rPr>
          <w:rFonts w:hAnsi="Calibri" w:hint="eastAsia"/>
          <w:b/>
          <w:bCs/>
          <w:color w:val="000000"/>
        </w:rPr>
        <w:t>2022年6月30日</w:t>
      </w:r>
    </w:p>
    <w:sectPr w:rsidR="00B6244E" w:rsidSect="00B6244E">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417" w:rsidRDefault="009F5417" w:rsidP="00B6244E">
      <w:r>
        <w:separator/>
      </w:r>
    </w:p>
  </w:endnote>
  <w:endnote w:type="continuationSeparator" w:id="1">
    <w:p w:rsidR="009F5417" w:rsidRDefault="009F5417" w:rsidP="00B624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44E" w:rsidRDefault="000079B1">
    <w:pPr>
      <w:pStyle w:val="a4"/>
      <w:framePr w:wrap="around" w:vAnchor="text" w:hAnchor="margin" w:xAlign="center" w:y="1"/>
      <w:rPr>
        <w:rStyle w:val="a8"/>
      </w:rPr>
    </w:pPr>
    <w:r>
      <w:fldChar w:fldCharType="begin"/>
    </w:r>
    <w:r w:rsidR="00667BD4">
      <w:rPr>
        <w:rStyle w:val="a8"/>
      </w:rPr>
      <w:instrText xml:space="preserve">PAGE  </w:instrText>
    </w:r>
    <w:r>
      <w:fldChar w:fldCharType="end"/>
    </w:r>
  </w:p>
  <w:p w:rsidR="00B6244E" w:rsidRDefault="00B6244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44E" w:rsidRDefault="00B6244E">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417" w:rsidRDefault="009F5417" w:rsidP="00B6244E">
      <w:r>
        <w:separator/>
      </w:r>
    </w:p>
  </w:footnote>
  <w:footnote w:type="continuationSeparator" w:id="1">
    <w:p w:rsidR="009F5417" w:rsidRDefault="009F5417" w:rsidP="00B624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44E" w:rsidRDefault="00667BD4">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8194"/>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43093FBC"/>
    <w:rsid w:val="00000109"/>
    <w:rsid w:val="000060E5"/>
    <w:rsid w:val="000079B1"/>
    <w:rsid w:val="000102DF"/>
    <w:rsid w:val="00030F14"/>
    <w:rsid w:val="00031AE6"/>
    <w:rsid w:val="00034FF6"/>
    <w:rsid w:val="00037491"/>
    <w:rsid w:val="00044BFF"/>
    <w:rsid w:val="0005474A"/>
    <w:rsid w:val="00061725"/>
    <w:rsid w:val="00067886"/>
    <w:rsid w:val="00086C62"/>
    <w:rsid w:val="00093286"/>
    <w:rsid w:val="000A07E0"/>
    <w:rsid w:val="000A15F0"/>
    <w:rsid w:val="000A1F8E"/>
    <w:rsid w:val="000B285B"/>
    <w:rsid w:val="000C44EE"/>
    <w:rsid w:val="000D5066"/>
    <w:rsid w:val="000D5F8E"/>
    <w:rsid w:val="000F6191"/>
    <w:rsid w:val="000F6CC0"/>
    <w:rsid w:val="0010610C"/>
    <w:rsid w:val="00110E09"/>
    <w:rsid w:val="00130CE8"/>
    <w:rsid w:val="00135AA3"/>
    <w:rsid w:val="00145A17"/>
    <w:rsid w:val="00152201"/>
    <w:rsid w:val="0016590B"/>
    <w:rsid w:val="00176636"/>
    <w:rsid w:val="00182C9B"/>
    <w:rsid w:val="00183C84"/>
    <w:rsid w:val="001A0B70"/>
    <w:rsid w:val="001A339C"/>
    <w:rsid w:val="001A540D"/>
    <w:rsid w:val="001C05F9"/>
    <w:rsid w:val="001C5395"/>
    <w:rsid w:val="001D5A30"/>
    <w:rsid w:val="001D72A9"/>
    <w:rsid w:val="001E756A"/>
    <w:rsid w:val="001F4650"/>
    <w:rsid w:val="001F5321"/>
    <w:rsid w:val="002114A7"/>
    <w:rsid w:val="00211F26"/>
    <w:rsid w:val="002263FC"/>
    <w:rsid w:val="00231AC2"/>
    <w:rsid w:val="0023550F"/>
    <w:rsid w:val="00240350"/>
    <w:rsid w:val="0024254D"/>
    <w:rsid w:val="00251657"/>
    <w:rsid w:val="0026513C"/>
    <w:rsid w:val="002813D0"/>
    <w:rsid w:val="002900B6"/>
    <w:rsid w:val="00290D0E"/>
    <w:rsid w:val="00290DD2"/>
    <w:rsid w:val="0029110D"/>
    <w:rsid w:val="002A01E0"/>
    <w:rsid w:val="002A1C45"/>
    <w:rsid w:val="002A3AE9"/>
    <w:rsid w:val="002A7E7E"/>
    <w:rsid w:val="002B2C71"/>
    <w:rsid w:val="002B36BD"/>
    <w:rsid w:val="002C196E"/>
    <w:rsid w:val="002D0620"/>
    <w:rsid w:val="002D75D0"/>
    <w:rsid w:val="002E795C"/>
    <w:rsid w:val="002F3AEA"/>
    <w:rsid w:val="002F76D6"/>
    <w:rsid w:val="0030002B"/>
    <w:rsid w:val="0030118D"/>
    <w:rsid w:val="003016B4"/>
    <w:rsid w:val="00321CB7"/>
    <w:rsid w:val="00330E1B"/>
    <w:rsid w:val="00336DF9"/>
    <w:rsid w:val="003379A9"/>
    <w:rsid w:val="00347110"/>
    <w:rsid w:val="00350ADF"/>
    <w:rsid w:val="00352CFE"/>
    <w:rsid w:val="00355623"/>
    <w:rsid w:val="00363F78"/>
    <w:rsid w:val="003670BC"/>
    <w:rsid w:val="00373526"/>
    <w:rsid w:val="003846B3"/>
    <w:rsid w:val="003862AF"/>
    <w:rsid w:val="003867E5"/>
    <w:rsid w:val="00396A50"/>
    <w:rsid w:val="003A0419"/>
    <w:rsid w:val="003B5524"/>
    <w:rsid w:val="003B73EB"/>
    <w:rsid w:val="003C2E6D"/>
    <w:rsid w:val="003E09EA"/>
    <w:rsid w:val="003F0AC3"/>
    <w:rsid w:val="004035EA"/>
    <w:rsid w:val="00406734"/>
    <w:rsid w:val="004135D0"/>
    <w:rsid w:val="00426B51"/>
    <w:rsid w:val="00434398"/>
    <w:rsid w:val="004432ED"/>
    <w:rsid w:val="00456251"/>
    <w:rsid w:val="00462877"/>
    <w:rsid w:val="004657EE"/>
    <w:rsid w:val="00465F16"/>
    <w:rsid w:val="00466076"/>
    <w:rsid w:val="0048201F"/>
    <w:rsid w:val="00487993"/>
    <w:rsid w:val="00487AA2"/>
    <w:rsid w:val="004A5D8E"/>
    <w:rsid w:val="004A63B7"/>
    <w:rsid w:val="004B1214"/>
    <w:rsid w:val="004C1607"/>
    <w:rsid w:val="004D7BF9"/>
    <w:rsid w:val="004E0C32"/>
    <w:rsid w:val="004E1093"/>
    <w:rsid w:val="005069D8"/>
    <w:rsid w:val="00526A09"/>
    <w:rsid w:val="0054267A"/>
    <w:rsid w:val="00545F71"/>
    <w:rsid w:val="00551558"/>
    <w:rsid w:val="00553F2B"/>
    <w:rsid w:val="00561127"/>
    <w:rsid w:val="0056162E"/>
    <w:rsid w:val="00567DB3"/>
    <w:rsid w:val="0057021C"/>
    <w:rsid w:val="0058045F"/>
    <w:rsid w:val="00586A85"/>
    <w:rsid w:val="005A1B72"/>
    <w:rsid w:val="005B3434"/>
    <w:rsid w:val="005C346A"/>
    <w:rsid w:val="005C5EB6"/>
    <w:rsid w:val="005D5B56"/>
    <w:rsid w:val="005E775A"/>
    <w:rsid w:val="005F2C7B"/>
    <w:rsid w:val="005F4D04"/>
    <w:rsid w:val="006025B4"/>
    <w:rsid w:val="00602C63"/>
    <w:rsid w:val="006054F8"/>
    <w:rsid w:val="0061061C"/>
    <w:rsid w:val="0062696F"/>
    <w:rsid w:val="006354B8"/>
    <w:rsid w:val="00644987"/>
    <w:rsid w:val="0065419A"/>
    <w:rsid w:val="00654220"/>
    <w:rsid w:val="00663366"/>
    <w:rsid w:val="00663B94"/>
    <w:rsid w:val="00666CD2"/>
    <w:rsid w:val="00667BD4"/>
    <w:rsid w:val="00677F66"/>
    <w:rsid w:val="00684926"/>
    <w:rsid w:val="00692881"/>
    <w:rsid w:val="006A536B"/>
    <w:rsid w:val="006B7A7C"/>
    <w:rsid w:val="006C3B02"/>
    <w:rsid w:val="006D2006"/>
    <w:rsid w:val="006D4071"/>
    <w:rsid w:val="006E0D41"/>
    <w:rsid w:val="006E4E94"/>
    <w:rsid w:val="006F7C4D"/>
    <w:rsid w:val="00703445"/>
    <w:rsid w:val="007113CF"/>
    <w:rsid w:val="00714758"/>
    <w:rsid w:val="00730BEE"/>
    <w:rsid w:val="0073101E"/>
    <w:rsid w:val="00735153"/>
    <w:rsid w:val="00741092"/>
    <w:rsid w:val="00745421"/>
    <w:rsid w:val="00746812"/>
    <w:rsid w:val="007654F9"/>
    <w:rsid w:val="00766DD5"/>
    <w:rsid w:val="007A4219"/>
    <w:rsid w:val="007A6DDB"/>
    <w:rsid w:val="007C422D"/>
    <w:rsid w:val="007D0048"/>
    <w:rsid w:val="007E2E92"/>
    <w:rsid w:val="007E40DE"/>
    <w:rsid w:val="007F5739"/>
    <w:rsid w:val="007F60E7"/>
    <w:rsid w:val="0080200C"/>
    <w:rsid w:val="008036C2"/>
    <w:rsid w:val="00814110"/>
    <w:rsid w:val="0082561A"/>
    <w:rsid w:val="00831B46"/>
    <w:rsid w:val="0083389E"/>
    <w:rsid w:val="00846B2E"/>
    <w:rsid w:val="008517A9"/>
    <w:rsid w:val="00855380"/>
    <w:rsid w:val="00861D58"/>
    <w:rsid w:val="00867D14"/>
    <w:rsid w:val="00872F6C"/>
    <w:rsid w:val="0088632D"/>
    <w:rsid w:val="00890186"/>
    <w:rsid w:val="008926F7"/>
    <w:rsid w:val="0089287C"/>
    <w:rsid w:val="00894164"/>
    <w:rsid w:val="008A7510"/>
    <w:rsid w:val="008B1EB1"/>
    <w:rsid w:val="008B672F"/>
    <w:rsid w:val="008C68AE"/>
    <w:rsid w:val="008C78BD"/>
    <w:rsid w:val="008E165F"/>
    <w:rsid w:val="008E3B3F"/>
    <w:rsid w:val="008E5CC6"/>
    <w:rsid w:val="008F0C19"/>
    <w:rsid w:val="008F342A"/>
    <w:rsid w:val="00900D90"/>
    <w:rsid w:val="00906080"/>
    <w:rsid w:val="00916D74"/>
    <w:rsid w:val="00920DB6"/>
    <w:rsid w:val="009354D6"/>
    <w:rsid w:val="009430C2"/>
    <w:rsid w:val="00964838"/>
    <w:rsid w:val="00970A98"/>
    <w:rsid w:val="00970F7B"/>
    <w:rsid w:val="00981ECB"/>
    <w:rsid w:val="00983B6A"/>
    <w:rsid w:val="009964B2"/>
    <w:rsid w:val="009B4244"/>
    <w:rsid w:val="009C781F"/>
    <w:rsid w:val="009D00E6"/>
    <w:rsid w:val="009D3E39"/>
    <w:rsid w:val="009E6170"/>
    <w:rsid w:val="009F5417"/>
    <w:rsid w:val="009F79AD"/>
    <w:rsid w:val="00A4484F"/>
    <w:rsid w:val="00A60E33"/>
    <w:rsid w:val="00A6112A"/>
    <w:rsid w:val="00A76D4B"/>
    <w:rsid w:val="00A77C47"/>
    <w:rsid w:val="00A9119C"/>
    <w:rsid w:val="00AA2969"/>
    <w:rsid w:val="00AA4549"/>
    <w:rsid w:val="00AB0A11"/>
    <w:rsid w:val="00AB0CFC"/>
    <w:rsid w:val="00AB6691"/>
    <w:rsid w:val="00AC1E72"/>
    <w:rsid w:val="00AC5144"/>
    <w:rsid w:val="00AD2509"/>
    <w:rsid w:val="00AD3F7A"/>
    <w:rsid w:val="00AD6FA5"/>
    <w:rsid w:val="00AD77C5"/>
    <w:rsid w:val="00AE0098"/>
    <w:rsid w:val="00AE519B"/>
    <w:rsid w:val="00AF6377"/>
    <w:rsid w:val="00B05027"/>
    <w:rsid w:val="00B05543"/>
    <w:rsid w:val="00B13014"/>
    <w:rsid w:val="00B21B25"/>
    <w:rsid w:val="00B25C4D"/>
    <w:rsid w:val="00B33B19"/>
    <w:rsid w:val="00B404E6"/>
    <w:rsid w:val="00B4360D"/>
    <w:rsid w:val="00B43E17"/>
    <w:rsid w:val="00B54409"/>
    <w:rsid w:val="00B6244E"/>
    <w:rsid w:val="00B67966"/>
    <w:rsid w:val="00B74DCA"/>
    <w:rsid w:val="00B82278"/>
    <w:rsid w:val="00B82593"/>
    <w:rsid w:val="00B908BB"/>
    <w:rsid w:val="00B96D3F"/>
    <w:rsid w:val="00BA2EDA"/>
    <w:rsid w:val="00BA2F89"/>
    <w:rsid w:val="00BB6A27"/>
    <w:rsid w:val="00BC3903"/>
    <w:rsid w:val="00BD7297"/>
    <w:rsid w:val="00BE196A"/>
    <w:rsid w:val="00BE47E0"/>
    <w:rsid w:val="00BF3300"/>
    <w:rsid w:val="00BF75C8"/>
    <w:rsid w:val="00C14C6B"/>
    <w:rsid w:val="00C1762E"/>
    <w:rsid w:val="00C21B37"/>
    <w:rsid w:val="00C30A48"/>
    <w:rsid w:val="00C35FA6"/>
    <w:rsid w:val="00C428DF"/>
    <w:rsid w:val="00C43741"/>
    <w:rsid w:val="00C457B8"/>
    <w:rsid w:val="00C52586"/>
    <w:rsid w:val="00C52E56"/>
    <w:rsid w:val="00C57B86"/>
    <w:rsid w:val="00C640FB"/>
    <w:rsid w:val="00C65651"/>
    <w:rsid w:val="00CA1BF1"/>
    <w:rsid w:val="00CB054E"/>
    <w:rsid w:val="00CC232E"/>
    <w:rsid w:val="00CC29AF"/>
    <w:rsid w:val="00CC52D7"/>
    <w:rsid w:val="00CD1D4C"/>
    <w:rsid w:val="00CF6C89"/>
    <w:rsid w:val="00D0449D"/>
    <w:rsid w:val="00D12201"/>
    <w:rsid w:val="00D2360B"/>
    <w:rsid w:val="00D23AB6"/>
    <w:rsid w:val="00D50309"/>
    <w:rsid w:val="00D51AA9"/>
    <w:rsid w:val="00D60DB3"/>
    <w:rsid w:val="00D7264A"/>
    <w:rsid w:val="00D84E43"/>
    <w:rsid w:val="00DA4BE9"/>
    <w:rsid w:val="00DB0C2F"/>
    <w:rsid w:val="00DB3BF6"/>
    <w:rsid w:val="00DC31CC"/>
    <w:rsid w:val="00DC728A"/>
    <w:rsid w:val="00DD2E38"/>
    <w:rsid w:val="00DD51B6"/>
    <w:rsid w:val="00DD597C"/>
    <w:rsid w:val="00DE67E4"/>
    <w:rsid w:val="00E00594"/>
    <w:rsid w:val="00E01920"/>
    <w:rsid w:val="00E155DF"/>
    <w:rsid w:val="00E41B5E"/>
    <w:rsid w:val="00E53FB9"/>
    <w:rsid w:val="00E623AB"/>
    <w:rsid w:val="00E81EDF"/>
    <w:rsid w:val="00E8213B"/>
    <w:rsid w:val="00E9797A"/>
    <w:rsid w:val="00E97A04"/>
    <w:rsid w:val="00EA5D3D"/>
    <w:rsid w:val="00EB0FBF"/>
    <w:rsid w:val="00EB6C63"/>
    <w:rsid w:val="00EC4DE1"/>
    <w:rsid w:val="00EC5E2C"/>
    <w:rsid w:val="00ED1C87"/>
    <w:rsid w:val="00ED4001"/>
    <w:rsid w:val="00ED4637"/>
    <w:rsid w:val="00EE0436"/>
    <w:rsid w:val="00EE7C80"/>
    <w:rsid w:val="00F03382"/>
    <w:rsid w:val="00F23ED2"/>
    <w:rsid w:val="00F41324"/>
    <w:rsid w:val="00F42715"/>
    <w:rsid w:val="00F609FD"/>
    <w:rsid w:val="00F66874"/>
    <w:rsid w:val="00F81345"/>
    <w:rsid w:val="00F859AB"/>
    <w:rsid w:val="00F939D0"/>
    <w:rsid w:val="00F950D0"/>
    <w:rsid w:val="00FA2C26"/>
    <w:rsid w:val="00FA650F"/>
    <w:rsid w:val="00FB5D47"/>
    <w:rsid w:val="00FB6E8E"/>
    <w:rsid w:val="00FB712E"/>
    <w:rsid w:val="00FE4C31"/>
    <w:rsid w:val="00FE5C11"/>
    <w:rsid w:val="022C2410"/>
    <w:rsid w:val="026D0131"/>
    <w:rsid w:val="035B1EEB"/>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FE575C"/>
    <w:rsid w:val="1677277F"/>
    <w:rsid w:val="174F6B4B"/>
    <w:rsid w:val="18270B7C"/>
    <w:rsid w:val="185505DC"/>
    <w:rsid w:val="18C666BE"/>
    <w:rsid w:val="1A53344A"/>
    <w:rsid w:val="1AA87F19"/>
    <w:rsid w:val="1B363C6A"/>
    <w:rsid w:val="1B8A5B02"/>
    <w:rsid w:val="1BE4237E"/>
    <w:rsid w:val="1DD376B7"/>
    <w:rsid w:val="1E911FB2"/>
    <w:rsid w:val="206D37DF"/>
    <w:rsid w:val="233002B5"/>
    <w:rsid w:val="236036FD"/>
    <w:rsid w:val="23A05440"/>
    <w:rsid w:val="23C50556"/>
    <w:rsid w:val="24960C0F"/>
    <w:rsid w:val="277874DD"/>
    <w:rsid w:val="2933258B"/>
    <w:rsid w:val="298E16C7"/>
    <w:rsid w:val="2B7C5C81"/>
    <w:rsid w:val="2E162202"/>
    <w:rsid w:val="2F132635"/>
    <w:rsid w:val="30077F05"/>
    <w:rsid w:val="3121340F"/>
    <w:rsid w:val="317A07B0"/>
    <w:rsid w:val="336668FA"/>
    <w:rsid w:val="36316B15"/>
    <w:rsid w:val="368076E6"/>
    <w:rsid w:val="388D7049"/>
    <w:rsid w:val="3A5E67F0"/>
    <w:rsid w:val="3AF80478"/>
    <w:rsid w:val="3C0E0AC1"/>
    <w:rsid w:val="3DE33F68"/>
    <w:rsid w:val="3FB22C0A"/>
    <w:rsid w:val="40447AAF"/>
    <w:rsid w:val="40897464"/>
    <w:rsid w:val="40E1302A"/>
    <w:rsid w:val="42BE08E7"/>
    <w:rsid w:val="43093FBC"/>
    <w:rsid w:val="433A3D7A"/>
    <w:rsid w:val="43A019F4"/>
    <w:rsid w:val="46A13001"/>
    <w:rsid w:val="4A9A51B9"/>
    <w:rsid w:val="4CA37010"/>
    <w:rsid w:val="4DEC7E75"/>
    <w:rsid w:val="4E276A76"/>
    <w:rsid w:val="4F8709AB"/>
    <w:rsid w:val="50C47F64"/>
    <w:rsid w:val="53300D28"/>
    <w:rsid w:val="55CC3E04"/>
    <w:rsid w:val="55E57CB6"/>
    <w:rsid w:val="564B4BD9"/>
    <w:rsid w:val="56696C12"/>
    <w:rsid w:val="57AD6E41"/>
    <w:rsid w:val="580B5AEB"/>
    <w:rsid w:val="5902768A"/>
    <w:rsid w:val="5D1D443F"/>
    <w:rsid w:val="5E337017"/>
    <w:rsid w:val="5FBD11D0"/>
    <w:rsid w:val="61237A57"/>
    <w:rsid w:val="61B402D8"/>
    <w:rsid w:val="62342F4C"/>
    <w:rsid w:val="64F6329D"/>
    <w:rsid w:val="652A577F"/>
    <w:rsid w:val="65E55D8E"/>
    <w:rsid w:val="6898111C"/>
    <w:rsid w:val="6983088A"/>
    <w:rsid w:val="6A485270"/>
    <w:rsid w:val="6B37137A"/>
    <w:rsid w:val="6C145AA4"/>
    <w:rsid w:val="6DFD23E8"/>
    <w:rsid w:val="6F307698"/>
    <w:rsid w:val="702B184D"/>
    <w:rsid w:val="704B76D3"/>
    <w:rsid w:val="709D748C"/>
    <w:rsid w:val="73193673"/>
    <w:rsid w:val="78467F33"/>
    <w:rsid w:val="7A056855"/>
    <w:rsid w:val="7B582B92"/>
    <w:rsid w:val="7D36154A"/>
    <w:rsid w:val="7D8E47C1"/>
    <w:rsid w:val="7E3D508D"/>
    <w:rsid w:val="7E526C62"/>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244E"/>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B6244E"/>
    <w:rPr>
      <w:sz w:val="18"/>
      <w:szCs w:val="18"/>
      <w:lang/>
    </w:rPr>
  </w:style>
  <w:style w:type="paragraph" w:styleId="a4">
    <w:name w:val="footer"/>
    <w:basedOn w:val="a"/>
    <w:link w:val="Char0"/>
    <w:uiPriority w:val="99"/>
    <w:unhideWhenUsed/>
    <w:qFormat/>
    <w:rsid w:val="00B6244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B6244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B6244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B624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B6244E"/>
  </w:style>
  <w:style w:type="paragraph" w:customStyle="1" w:styleId="zhongyaotishi">
    <w:name w:val="zhongyaotishi"/>
    <w:basedOn w:val="a"/>
    <w:qFormat/>
    <w:rsid w:val="00B6244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B6244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B6244E"/>
    <w:pPr>
      <w:widowControl w:val="0"/>
      <w:jc w:val="center"/>
    </w:pPr>
    <w:rPr>
      <w:kern w:val="2"/>
      <w:sz w:val="33"/>
      <w:szCs w:val="22"/>
    </w:rPr>
  </w:style>
  <w:style w:type="paragraph" w:customStyle="1" w:styleId="neirong">
    <w:name w:val="neirong"/>
    <w:basedOn w:val="a"/>
    <w:qFormat/>
    <w:rsid w:val="00B6244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B6244E"/>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B6244E"/>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B6244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B6244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B6244E"/>
    <w:pPr>
      <w:widowControl w:val="0"/>
    </w:pPr>
    <w:rPr>
      <w:kern w:val="2"/>
      <w:sz w:val="21"/>
      <w:szCs w:val="22"/>
    </w:rPr>
  </w:style>
  <w:style w:type="paragraph" w:customStyle="1" w:styleId="biaogecenter">
    <w:name w:val="biaoge_center"/>
    <w:basedOn w:val="a"/>
    <w:qFormat/>
    <w:rsid w:val="00B6244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rsid w:val="00B6244E"/>
    <w:pPr>
      <w:jc w:val="both"/>
    </w:pPr>
    <w:rPr>
      <w:kern w:val="2"/>
      <w:sz w:val="21"/>
      <w:szCs w:val="21"/>
    </w:rPr>
  </w:style>
  <w:style w:type="paragraph" w:customStyle="1" w:styleId="biaogeright1">
    <w:name w:val="biaoge_right1"/>
    <w:basedOn w:val="a"/>
    <w:qFormat/>
    <w:rsid w:val="00B6244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B6244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B6244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B6244E"/>
    <w:rPr>
      <w:kern w:val="2"/>
      <w:sz w:val="18"/>
      <w:szCs w:val="18"/>
    </w:rPr>
  </w:style>
  <w:style w:type="character" w:customStyle="1" w:styleId="Char0">
    <w:name w:val="页脚 Char"/>
    <w:link w:val="a4"/>
    <w:uiPriority w:val="99"/>
    <w:semiHidden/>
    <w:qFormat/>
    <w:locked/>
    <w:rsid w:val="00B6244E"/>
    <w:rPr>
      <w:rFonts w:ascii="Times New Roman" w:hAnsi="Times New Roman" w:cs="Times New Roman" w:hint="default"/>
      <w:sz w:val="18"/>
      <w:szCs w:val="18"/>
    </w:rPr>
  </w:style>
  <w:style w:type="character" w:customStyle="1" w:styleId="Char1">
    <w:name w:val="页眉 Char"/>
    <w:link w:val="a5"/>
    <w:uiPriority w:val="99"/>
    <w:semiHidden/>
    <w:locked/>
    <w:rsid w:val="00B6244E"/>
    <w:rPr>
      <w:rFonts w:ascii="Times New Roman" w:hAnsi="Times New Roman" w:cs="Times New Roman" w:hint="default"/>
      <w:sz w:val="18"/>
      <w:szCs w:val="18"/>
    </w:rPr>
  </w:style>
  <w:style w:type="table" w:customStyle="1" w:styleId="dqbgxx">
    <w:name w:val="dqbgxx"/>
    <w:basedOn w:val="a1"/>
    <w:qFormat/>
    <w:rsid w:val="00B6244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B6244E"/>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B6244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414</Words>
  <Characters>2366</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48</cp:revision>
  <dcterms:created xsi:type="dcterms:W3CDTF">2021-06-30T07:28:00Z</dcterms:created>
  <dcterms:modified xsi:type="dcterms:W3CDTF">2022-09-02T10:03:00Z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