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
      </w:r>
      <w:proofErr w:type="spellStart"/>
      <w:r w:rsidRPr="00210CF6">
        <w:rPr>
          <w:rFonts w:ascii="方正黑体简体" w:eastAsia="方正黑体简体" w:hAnsi="Calibri" w:hint="eastAsia"/>
          <w:sz w:val="36"/>
        </w:rPr>
        <w:t/>
      </w:r>
      <w:proofErr w:type="spellEnd"/>
      <w:r w:rsidRPr="00210CF6">
        <w:rPr>
          <w:rFonts w:ascii="方正黑体简体" w:eastAsia="方正黑体简体" w:hAnsi="Calibri" w:hint="eastAsia"/>
          <w:sz w:val="36"/>
        </w:rPr>
        <w:t>南银理财珠联璧合安稳1902一年定开公募人民币理财产品</w:t>
      </w: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2023年第</w:t>
      </w:r>
      <w:r w:rsidR="007E0C90" w:rsidRPr="00210CF6">
        <w:rPr>
          <w:rFonts w:ascii="方正黑体简体" w:eastAsia="方正黑体简体" w:hAnsi="Calibri" w:hint="eastAsia"/>
          <w:sz w:val="36"/>
        </w:rPr>
        <w:t>3</w:t>
      </w:r>
      <w:r w:rsidRPr="00210CF6">
        <w:rPr>
          <w:rFonts w:ascii="方正黑体简体" w:eastAsia="方正黑体简体" w:hAnsi="Calibri" w:hint="eastAsia"/>
          <w:sz w:val="36"/>
        </w:rPr>
        <w:t>季度报告</w:t>
      </w: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产品管理人:南银理财有限责任公司</w:t>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产品托管人:南京银行股份有限公司</w:t>
      </w:r>
    </w:p>
    <w:p w:rsidR="001421A0" w:rsidRPr="00B86655" w:rsidRDefault="001421A0" w:rsidP="00D45351">
      <w:pPr>
        <w:spacing w:before="240" w:after="72" w:line="360" w:lineRule="auto"/>
        <w:jc w:val="center"/>
        <w:rPr>
          <w:rFonts w:ascii="方正黑体简体" w:eastAsia="方正黑体简体"/>
          <w:sz w:val="36"/>
          <w:szCs w:val="36"/>
        </w:rPr>
      </w:pPr>
    </w:p>
    <w:p w:rsidR="000B4524" w:rsidRPr="00B86655" w:rsidRDefault="000B4524" w:rsidP="00D45351">
      <w:pPr>
        <w:spacing w:before="240" w:after="72" w:line="360" w:lineRule="auto"/>
        <w:jc w:val="center"/>
        <w:rPr>
          <w:rFonts w:ascii="方正黑体简体" w:eastAsia="方正黑体简体"/>
          <w:sz w:val="36"/>
          <w:szCs w:val="36"/>
        </w:rPr>
      </w:pPr>
      <w:r w:rsidRPr="00B86655">
        <w:rPr>
          <w:rFonts w:ascii="方正黑体简体" w:eastAsia="方正黑体简体"/>
          <w:sz w:val="36"/>
          <w:szCs w:val="36"/>
        </w:rPr>
        <w:br w:type="page"/>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lastRenderedPageBreak/>
        <w:t>§1 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894"/>
        <w:gridCol w:w="6065"/>
      </w:tblGrid>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产品全称</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南银理财珠联璧合安稳1902一年定开公募人民币理财产品</w:t>
            </w:r>
          </w:p>
        </w:tc>
      </w:tr>
      <w:tr w:rsidR="001421A0" w:rsidTr="005B2789">
        <w:trPr>
          <w:trHeight w:val="1207"/>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产品登记编码</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Z7003221000027（投资者可依据该编码在中国</w:t>
            </w:r>
            <w:proofErr w:type="gramStart"/>
            <w:r w:rsidRPr="0063323A">
              <w:rPr>
                <w:rFonts w:ascii="方正仿宋简体" w:eastAsia="方正仿宋简体" w:hint="eastAsia"/>
                <w:sz w:val="24"/>
                <w:szCs w:val="24"/>
              </w:rPr>
              <w:t>理财网</w:t>
            </w:r>
            <w:proofErr w:type="gramEnd"/>
            <w:r w:rsidRPr="0063323A">
              <w:rPr>
                <w:rFonts w:ascii="方正仿宋简体" w:eastAsia="方正仿宋简体" w:hint="eastAsia"/>
                <w:sz w:val="24"/>
                <w:szCs w:val="24"/>
              </w:rPr>
              <w:t>www.chinawealth.com.cn查询理财产品相关信息）</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产品运作方式</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开放式净值型</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产品成立日</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2019年02月20日</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报告期末产品份额总额</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996,243,009.40份</w:t>
            </w:r>
          </w:p>
        </w:tc>
      </w:tr>
      <w:tr w:rsidR="001421A0" w:rsidTr="005B2789">
        <w:trPr>
          <w:trHeight w:val="639"/>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合作机构</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鑫元基金管理有限公司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产品管理人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南银理财有限责任公司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产品托管人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南京银行股份有限公司</w:t>
            </w:r>
          </w:p>
        </w:tc>
      </w:tr>
    </w:tbl>
    <w:p w:rsidR="001421A0" w:rsidRDefault="001421A0" w:rsidP="00D45351">
      <w:pPr>
        <w:spacing w:before="240" w:after="72" w:line="360" w:lineRule="auto"/>
        <w:rPr>
          <w:rFonts w:ascii="方正仿宋_GBK" w:eastAsia="方正仿宋_GBK" w:hAnsi="宋体" w:cs="宋体"/>
          <w:kern w:val="0"/>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§2  主要财务指标和产品业绩比较基准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2.1 主要财务指标</w:t>
      </w:r>
    </w:p>
    <w:p w:rsidR="001421A0" w:rsidRPr="0063323A" w:rsidRDefault="00B1693A" w:rsidP="00D45351">
      <w:pPr>
        <w:spacing w:before="240" w:after="72" w:line="360" w:lineRule="auto"/>
        <w:jc w:val="right"/>
        <w:rPr>
          <w:rFonts w:ascii="方正仿宋简体" w:eastAsia="方正仿宋简体"/>
          <w:sz w:val="24"/>
          <w:szCs w:val="24"/>
        </w:rPr>
      </w:pPr>
      <w:r w:rsidRPr="0063323A">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296"/>
        <w:gridCol w:w="2705"/>
        <w:gridCol w:w="2030"/>
        <w:gridCol w:w="2036"/>
      </w:tblGrid>
      <w:tr w:rsidR="001421A0" w:rsidTr="005B2789">
        <w:trPr>
          <w:trHeight w:val="613"/>
          <w:jc w:val="center"/>
        </w:trPr>
        <w:tc>
          <w:tcPr>
            <w:tcW w:w="2296" w:type="dxa"/>
            <w:vMerge w:val="restart"/>
            <w:vAlign w:val="center"/>
          </w:tcPr>
          <w:p w:rsidR="001421A0" w:rsidRPr="0063323A" w:rsidRDefault="00B1693A" w:rsidP="007E0C90">
            <w:pPr>
              <w:spacing w:beforeLines="20" w:before="48" w:afterLines="20" w:after="48" w:line="360" w:lineRule="auto"/>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6771" w:type="dxa"/>
            <w:gridSpan w:val="3"/>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报告期（2023年07月01日 - 2023年09月30日）</w:t>
            </w:r>
          </w:p>
        </w:tc>
      </w:tr>
      <w:tr w:rsidR="001421A0" w:rsidTr="005B2789">
        <w:trPr>
          <w:trHeight w:val="1664"/>
          <w:jc w:val="center"/>
        </w:trPr>
        <w:tc>
          <w:tcPr>
            <w:tcW w:w="2296" w:type="dxa"/>
            <w:vMerge/>
            <w:vAlign w:val="center"/>
          </w:tcPr>
          <w:p w:rsidR="001421A0" w:rsidRPr="0063323A" w:rsidRDefault="001421A0" w:rsidP="007E0C90">
            <w:pPr>
              <w:spacing w:beforeLines="20" w:before="48" w:afterLines="20" w:after="48" w:line="360" w:lineRule="auto"/>
              <w:jc w:val="center"/>
              <w:rPr>
                <w:rFonts w:ascii="方正仿宋简体" w:eastAsia="方正仿宋简体"/>
                <w:sz w:val="24"/>
                <w:szCs w:val="24"/>
              </w:rPr>
            </w:pPr>
          </w:p>
        </w:tc>
        <w:tc>
          <w:tcPr>
            <w:tcW w:w="2705"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1.期末产品最后一个市场交易</w:t>
            </w:r>
            <w:proofErr w:type="gramStart"/>
            <w:r w:rsidRPr="0063323A">
              <w:rPr>
                <w:rFonts w:ascii="方正仿宋简体" w:eastAsia="方正仿宋简体" w:hint="eastAsia"/>
                <w:sz w:val="24"/>
                <w:szCs w:val="24"/>
              </w:rPr>
              <w:t>日资产</w:t>
            </w:r>
            <w:proofErr w:type="gramEnd"/>
            <w:r w:rsidRPr="0063323A">
              <w:rPr>
                <w:rFonts w:ascii="方正仿宋简体" w:eastAsia="方正仿宋简体" w:hint="eastAsia"/>
                <w:sz w:val="24"/>
                <w:szCs w:val="24"/>
              </w:rPr>
              <w:t>净值</w:t>
            </w:r>
          </w:p>
        </w:tc>
        <w:tc>
          <w:tcPr>
            <w:tcW w:w="2030"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2.期末产品最后一个市场交易日份额净值</w:t>
            </w:r>
          </w:p>
        </w:tc>
        <w:tc>
          <w:tcPr>
            <w:tcW w:w="2036"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3.期末产品最后一个市场交易日份额累计净值</w:t>
            </w:r>
          </w:p>
        </w:tc>
      </w:tr>
      <w:tr>
        <w:trPr>
          <w:trHeight w:val="557"/>
          <w:jc w:val="center"/>
        </w:trPr>
        <w:tc>
          <w:tcPr>
            <w:tcW w:w="229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Z10022</w:t>
            </w:r>
          </w:p>
        </w:tc>
        <w:tc>
          <w:tcPr>
            <w:tcW w:w="2705"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1,028,387,892.03</w:t>
            </w:r>
          </w:p>
        </w:tc>
        <w:tc>
          <w:tcPr>
            <w:tcW w:w="2030"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1.0322</w:t>
            </w:r>
          </w:p>
        </w:tc>
        <w:tc>
          <w:tcPr>
            <w:tcW w:w="203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1.2157</w:t>
            </w:r>
          </w:p>
        </w:tc>
      </w:tr>
    </w:tbl>
    <w:p w:rsidR="001421A0" w:rsidRPr="0063323A" w:rsidRDefault="00B1693A" w:rsidP="00D45351">
      <w:pPr>
        <w:pStyle w:val="biaogeleft"/>
        <w:spacing w:before="240" w:after="72" w:line="360" w:lineRule="auto"/>
        <w:ind w:left="0"/>
        <w:rPr>
          <w:rFonts w:ascii="方正仿宋简体" w:eastAsia="方正仿宋简体" w:hAnsi="Times New Roman" w:cs="Times New Roman"/>
          <w:kern w:val="2"/>
        </w:rPr>
      </w:pPr>
      <w:r w:rsidRPr="0063323A">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 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2.2.1本报告期产品业绩比较基准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4485"/>
        <w:gridCol w:w="2095"/>
        <w:gridCol w:w="2322"/>
      </w:tblGrid>
      <w:tr w:rsidR="001421A0" w:rsidTr="00B1693A">
        <w:trPr>
          <w:jc w:val="center"/>
        </w:trPr>
        <w:tc>
          <w:tcPr>
            <w:tcW w:w="453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阶段</w:t>
            </w:r>
          </w:p>
        </w:tc>
        <w:tc>
          <w:tcPr>
            <w:tcW w:w="2118"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234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业绩比较基准</w:t>
            </w:r>
          </w:p>
        </w:tc>
      </w:tr>
      <w:tr>
        <w:trPr>
          <w:jc w:val="center"/>
        </w:trPr>
        <w:tc>
          <w:tcPr>
            <w:tcW w:w="453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2023年07月01日 - 2023年09月30日</w:t>
            </w:r>
          </w:p>
        </w:tc>
        <w:tc>
          <w:tcPr>
            <w:tcW w:w="2118"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Z10022</w:t>
            </w:r>
          </w:p>
        </w:tc>
        <w:tc>
          <w:tcPr>
            <w:tcW w:w="234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2.16%</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§3  管理人报告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3.1 报告期内产品的投资策略和运作分析</w:t>
      </w:r>
      <w:r w:rsidRPr="00210CF6">
        <w:rPr>
          <w:rFonts w:ascii="方正仿宋简体" w:eastAsia="方正仿宋简体" w:hint="eastAsia"/>
          <w:b/>
          <w:sz w:val="24"/>
          <w:szCs w:val="24"/>
        </w:rPr>
        <w:tab/>
      </w:r>
    </w:p>
    <w:p w:rsidR="001421A0" w:rsidRPr="0063323A" w:rsidRDefault="00B1693A" w:rsidP="00D45351">
      <w:pPr>
        <w:spacing w:before="240" w:after="72" w:line="360" w:lineRule="auto"/>
        <w:rPr>
          <w:rFonts w:ascii="方正仿宋简体" w:eastAsia="方正仿宋简体"/>
          <w:sz w:val="24"/>
          <w:szCs w:val="24"/>
        </w:rPr>
      </w:pPr>
      <w:r>
        <w:rPr>
          <w:rFonts w:ascii="方正仿宋简体" w:eastAsia="方正仿宋简体" w:hint="eastAsia"/>
          <w:sz w:val="24"/>
          <w:szCs w:val="24"/>
        </w:rPr>
        <w:t>  三季度各地陆续出台地产支持政策，部分地区地产销售表现出现一定程度的改善，但整体效果并不强劲，基本面仍呈现出数据偏弱、政策力度较强的特征。8月下旬央行降息，打开利率下行空间，但9 月以来资金面持续偏紧，降准后也未见缓解，债市出现一定调整。三季度债券收益率呈现先下后上的状态，10年期国债收益率从7月初的2.64%降至8月下旬2.54%的低点，此后逐步回升至2.65%以上，信用债跟随利率债先下后上。</w:t>
        <w:br w:type="textWrapping" w:clear="all"/>
      </w:r>
      <w:r>
        <w:rPr>
          <w:rFonts w:ascii="方正仿宋简体" w:eastAsia="方正仿宋简体" w:hint="eastAsia"/>
          <w:sz w:val="24"/>
          <w:szCs w:val="24"/>
        </w:rPr>
        <w:t>  往后看，当前基本面阶段性触底或较为确定，但经济回暖的弹性和持续性仍有待确认，经济偏弱格局未有明显改变，而且跨过季末时点，资金紧张的压力将有所缓解，叠加宽货币预期的升温，债市预计为震荡偏强格局，仍有博弈机会，策略上积极把握信用债票息价值，保持一定的杠杆水平，适时参与波段交易增厚收益。</w:t>
        <w:br w:type="textWrapping" w:clear="all"/>
      </w:r>
      <w:r>
        <w:rPr>
          <w:rFonts w:ascii="方正仿宋简体" w:eastAsia="方正仿宋简体" w:hint="eastAsia"/>
          <w:sz w:val="24"/>
          <w:szCs w:val="24"/>
        </w:rPr>
        <w:t>  本产品为中长期、定期开放式产品，在运作期内积极采用杠杆、久期等工具获取收益增厚。往后看，债市大幅调整的风险相对可控，本产品操作上将以中性策略应对震荡行情，静待政策及市场逐步明朗，并继续关注票息资产，适时适度采用杠杆增厚，组合保持久期中性，留有进退空间。</w:t>
      </w: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3.2 报告期内产品的流动性风险分析</w:t>
      </w:r>
    </w:p>
    <w:p w:rsidR="001421A0" w:rsidRPr="0063323A" w:rsidRDefault="00B1693A" w:rsidP="00D45351">
      <w:pPr>
        <w:spacing w:before="240" w:after="72" w:line="360" w:lineRule="auto"/>
        <w:rPr>
          <w:rFonts w:ascii="方正仿宋简体" w:eastAsia="方正仿宋简体"/>
          <w:sz w:val="24"/>
          <w:szCs w:val="24"/>
        </w:rPr>
      </w:pPr>
      <w:r w:rsidRPr="0063323A">
        <w:rPr>
          <w:rFonts w:ascii="方正仿宋简体" w:eastAsia="方正仿宋简体"/>
          <w:sz w:val="24"/>
          <w:szCs w:val="24"/>
        </w:rPr>
        <w:t/>
      </w:r>
      <w:proofErr w:type="spellStart"/>
      <w:r w:rsidRPr="0063323A">
        <w:rPr>
          <w:rFonts w:ascii="方正仿宋简体" w:eastAsia="方正仿宋简体"/>
          <w:sz w:val="24"/>
          <w:szCs w:val="24"/>
        </w:rPr>
        <w:t/>
      </w:r>
      <w:proofErr w:type="spellEnd"/>
      <w:r w:rsidRPr="0063323A">
        <w:rPr>
          <w:rFonts w:ascii="方正仿宋简体" w:eastAsia="方正仿宋简体"/>
          <w:sz w:val="24"/>
          <w:szCs w:val="24"/>
        </w:rPr>
        <w:t>  本产品持仓中维持合理比例高流动性资产，杠杆处于合理水平，流动性状况较好。</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3.3 报告期内产品的业绩表现</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截至报告期末，本产品份额净值为1.0324元。</w:t>
      </w:r>
    </w:p>
    <w:p w:rsidR="001421A0" w:rsidRDefault="001421A0" w:rsidP="00D45351">
      <w:pPr>
        <w:spacing w:before="240" w:after="72" w:line="360" w:lineRule="auto"/>
        <w:rPr>
          <w:rFonts w:ascii="方正仿宋_GBK" w:eastAsia="方正仿宋_GBK" w:hAnsi="宋体"/>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§4  投资组合报告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proofErr w:type="gramStart"/>
            <w:r w:rsidRPr="0063323A">
              <w:rPr>
                <w:rFonts w:ascii="方正仿宋简体" w:eastAsia="方正仿宋简体" w:hint="eastAsia"/>
                <w:sz w:val="24"/>
                <w:szCs w:val="24"/>
              </w:rPr>
              <w:t>穿透前占总</w:t>
            </w:r>
            <w:proofErr w:type="gramEnd"/>
            <w:r w:rsidRPr="0063323A">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穿透后占总资产比例</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1693A" w:rsidTr="00395C1C">
        <w:trPr>
          <w:trHeight w:val="1233"/>
          <w:jc w:val="center"/>
        </w:trPr>
        <w:tc>
          <w:tcPr>
            <w:tcW w:w="75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8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代码</w:t>
            </w:r>
          </w:p>
        </w:tc>
        <w:tc>
          <w:tcPr>
            <w:tcW w:w="272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名称</w:t>
            </w:r>
          </w:p>
        </w:tc>
        <w:tc>
          <w:tcPr>
            <w:tcW w:w="2058"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公允价值（元）</w:t>
            </w:r>
          </w:p>
        </w:tc>
        <w:tc>
          <w:tcPr>
            <w:tcW w:w="1812"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23880473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23龙城控股02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199,954,581.80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19.44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23881826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23常州城建10</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119,732,131.25</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11.64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ZJQTT202203100001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鑫元基金-鑫安利得62号集合资产管理计划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100,249,328.73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9.75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23880971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23宜兴城投01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99,927,542.18</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9.72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102281816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22钟楼新城MTN001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39,732,560.00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3.86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032191333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21惠山开发PPN001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30,321,900.00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197325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21新港02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1980275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19龙游国资债</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25,156,000.00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2180328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21新昌债02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20,819,040.00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102380701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23镇江城建MTN002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20,579,120.00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63"/>
        <w:gridCol w:w="1671"/>
        <w:gridCol w:w="1252"/>
        <w:gridCol w:w="1511"/>
        <w:gridCol w:w="1357"/>
        <w:gridCol w:w="1248"/>
        <w:gridCol w:w="1000"/>
      </w:tblGrid>
      <w:tr w:rsidR="00B1693A" w:rsidTr="00395C1C">
        <w:trPr>
          <w:trHeight w:val="1078"/>
          <w:jc w:val="center"/>
        </w:trPr>
        <w:tc>
          <w:tcPr>
            <w:tcW w:w="87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704"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融资客户</w:t>
            </w:r>
          </w:p>
        </w:tc>
        <w:tc>
          <w:tcPr>
            <w:tcW w:w="127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项目名称</w:t>
            </w:r>
          </w:p>
        </w:tc>
        <w:tc>
          <w:tcPr>
            <w:tcW w:w="154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剩余融资期限（</w:t>
            </w:r>
            <w:r w:rsidRPr="0063323A">
              <w:rPr>
                <w:rFonts w:ascii="方正仿宋简体" w:eastAsia="方正仿宋简体"/>
                <w:sz w:val="24"/>
                <w:szCs w:val="24"/>
              </w:rPr>
              <w:t>天）</w:t>
            </w:r>
          </w:p>
        </w:tc>
        <w:tc>
          <w:tcPr>
            <w:tcW w:w="1383"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到期收益分配</w:t>
            </w:r>
          </w:p>
        </w:tc>
        <w:tc>
          <w:tcPr>
            <w:tcW w:w="127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交易结构</w:t>
            </w:r>
          </w:p>
        </w:tc>
        <w:tc>
          <w:tcPr>
            <w:tcW w:w="101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常州市城市建设(集团)有限公司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23常州城建10</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157</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龙城产业投资控股集团有限公司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23龙城控股02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157</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宜兴市城市发展投资有限公司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23宜兴城投01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157</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696"/>
        <w:gridCol w:w="1567"/>
        <w:gridCol w:w="2668"/>
        <w:gridCol w:w="1983"/>
        <w:gridCol w:w="1988"/>
      </w:tblGrid>
      <w:tr w:rsidR="00B612B8" w:rsidTr="007C7DC4">
        <w:trPr>
          <w:trHeight w:val="584"/>
          <w:jc w:val="center"/>
        </w:trPr>
        <w:tc>
          <w:tcPr>
            <w:tcW w:w="696"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67"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账户类型</w:t>
            </w:r>
          </w:p>
        </w:tc>
        <w:tc>
          <w:tcPr>
            <w:tcW w:w="266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账号</w:t>
            </w:r>
          </w:p>
        </w:tc>
        <w:tc>
          <w:tcPr>
            <w:tcW w:w="1983"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账户名称</w:t>
            </w:r>
          </w:p>
        </w:tc>
        <w:tc>
          <w:tcPr>
            <w:tcW w:w="198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0120010000000257</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南京银行安稳1902一年定开</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§6 关联交易情况</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报告期内，产品投资于关联</w:t>
      </w:r>
      <w:bookmarkStart w:id="0" w:name="_GoBack"/>
      <w:bookmarkEnd w:id="0"/>
      <w:proofErr w:type="gramStart"/>
      <w:r w:rsidRPr="0063323A">
        <w:rPr>
          <w:rFonts w:ascii="方正仿宋简体" w:eastAsia="方正仿宋简体" w:hint="eastAsia"/>
          <w:sz w:val="24"/>
          <w:szCs w:val="24"/>
        </w:rPr>
        <w:t>方发行</w:t>
      </w:r>
      <w:proofErr w:type="gramEnd"/>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的证券、关联方作为融资人的非标准化债权类资产业务交易金额0.00元。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产品投资于关联方承销的证券交易金额120,000,000.00元。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产品与关联方作为交易对手开展的投融资业务交易金额0.00元。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产品投资关联方作为管理人的资产管理产品交易金额111,000,000.00元。</w:t>
      </w:r>
    </w:p>
    <w:p w:rsidR="001421A0" w:rsidRPr="0063323A" w:rsidRDefault="006754C1"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lastRenderedPageBreak/>
        <w:t>产品</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支付关联方托管费50,221.88</w:t>
      </w:r>
      <w:r w:rsidRPr="0063323A">
        <w:rPr>
          <w:rFonts w:ascii="方正仿宋简体" w:eastAsia="方正仿宋简体" w:hint="eastAsia"/>
          <w:sz w:val="24"/>
          <w:szCs w:val="24"/>
        </w:rPr>
        <w:t>元，</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支付关联方代销费482,657.88元。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产品发生其他关联交易金额0.00元。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报告期内，产品未发生重大关联交易。</w:t>
      </w:r>
    </w:p>
    <w:p w:rsidR="001421A0" w:rsidRDefault="001421A0" w:rsidP="00D45351">
      <w:pPr>
        <w:spacing w:before="240" w:after="72" w:line="360" w:lineRule="auto"/>
        <w:rPr>
          <w:rFonts w:ascii="方正仿宋_GBK" w:eastAsia="方正仿宋_GBK"/>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jc w:val="right"/>
        <w:rPr>
          <w:rFonts w:ascii="方正仿宋_GBK" w:eastAsia="方正仿宋_GBK"/>
          <w:b/>
          <w:sz w:val="24"/>
          <w:szCs w:val="24"/>
        </w:rPr>
      </w:pP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南银理财有限责任公司</w:t>
      </w: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2023年09月30日</w:t>
      </w:r>
    </w:p>
    <w:sectPr w:rsidR="001421A0" w:rsidRPr="00210CF6" w:rsidSect="00D21AF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B94" w:rsidRDefault="00012B94">
      <w:pPr>
        <w:spacing w:after="72"/>
      </w:pPr>
      <w:r>
        <w:separator/>
      </w:r>
    </w:p>
  </w:endnote>
  <w:endnote w:type="continuationSeparator" w:id="0">
    <w:p w:rsidR="00012B94" w:rsidRDefault="00012B94">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7620E9">
    <w:pPr>
      <w:pStyle w:val="a3"/>
      <w:framePr w:wrap="around" w:vAnchor="text" w:hAnchor="margin" w:xAlign="center" w:y="1"/>
      <w:spacing w:after="72"/>
      <w:rPr>
        <w:rStyle w:val="a6"/>
      </w:rPr>
    </w:pPr>
    <w:r>
      <w:fldChar w:fldCharType="begin"/>
    </w:r>
    <w:r w:rsidR="00B1693A">
      <w:rPr>
        <w:rStyle w:val="a6"/>
      </w:rPr>
      <w:instrText xml:space="preserve">PAGE  </w:instrText>
    </w:r>
    <w:r>
      <w:fldChar w:fldCharType="end"/>
    </w:r>
  </w:p>
  <w:p w:rsidR="001421A0" w:rsidRDefault="001421A0">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B94" w:rsidRDefault="00012B94">
      <w:pPr>
        <w:spacing w:after="72"/>
      </w:pPr>
      <w:r>
        <w:separator/>
      </w:r>
    </w:p>
  </w:footnote>
  <w:footnote w:type="continuationSeparator" w:id="0">
    <w:p w:rsidR="00012B94" w:rsidRDefault="00012B94">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BBC1D393-2AB7-4BC9-8108-9677E6C81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1AF8"/>
    <w:pPr>
      <w:widowControl w:val="0"/>
      <w:snapToGrid w:val="0"/>
      <w:spacing w:afterLines="30"/>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21AF8"/>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D21AF8"/>
    <w:pPr>
      <w:pBdr>
        <w:bottom w:val="single" w:sz="6" w:space="1" w:color="auto"/>
      </w:pBdr>
      <w:tabs>
        <w:tab w:val="center" w:pos="4153"/>
        <w:tab w:val="right" w:pos="8306"/>
      </w:tabs>
      <w:jc w:val="center"/>
    </w:pPr>
    <w:rPr>
      <w:sz w:val="18"/>
      <w:szCs w:val="18"/>
    </w:rPr>
  </w:style>
  <w:style w:type="paragraph" w:styleId="a5">
    <w:name w:val="Normal (Web)"/>
    <w:basedOn w:val="a"/>
    <w:qFormat/>
    <w:rsid w:val="00D21AF8"/>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D21AF8"/>
  </w:style>
  <w:style w:type="character" w:customStyle="1" w:styleId="Char">
    <w:name w:val="页脚 Char"/>
    <w:link w:val="a3"/>
    <w:uiPriority w:val="99"/>
    <w:qFormat/>
    <w:locked/>
    <w:rsid w:val="00D21AF8"/>
    <w:rPr>
      <w:rFonts w:ascii="Times New Roman" w:hAnsi="Times New Roman" w:cs="Times New Roman"/>
      <w:sz w:val="18"/>
      <w:szCs w:val="18"/>
    </w:rPr>
  </w:style>
  <w:style w:type="character" w:customStyle="1" w:styleId="Char1">
    <w:name w:val="页脚 Char1"/>
    <w:basedOn w:val="a0"/>
    <w:uiPriority w:val="99"/>
    <w:semiHidden/>
    <w:qFormat/>
    <w:rsid w:val="00D21AF8"/>
    <w:rPr>
      <w:rFonts w:ascii="Times New Roman" w:eastAsia="宋体" w:hAnsi="Times New Roman" w:cs="Times New Roman"/>
      <w:sz w:val="18"/>
      <w:szCs w:val="18"/>
    </w:rPr>
  </w:style>
  <w:style w:type="paragraph" w:customStyle="1" w:styleId="biaogeleft">
    <w:name w:val="biaoge_left"/>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D21AF8"/>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D21AF8"/>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D21AF8"/>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D21AF8"/>
    <w:pPr>
      <w:jc w:val="both"/>
    </w:pPr>
    <w:rPr>
      <w:rFonts w:ascii="Times New Roman" w:eastAsia="宋体" w:hAnsi="Times New Roman" w:cs="Times New Roman"/>
      <w:kern w:val="2"/>
      <w:sz w:val="21"/>
      <w:szCs w:val="21"/>
    </w:rPr>
  </w:style>
  <w:style w:type="paragraph" w:customStyle="1" w:styleId="biaogeright">
    <w:name w:val="biaoge_right"/>
    <w:basedOn w:val="a"/>
    <w:qFormat/>
    <w:rsid w:val="00D21AF8"/>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D21AF8"/>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D21AF8"/>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D21AF8"/>
    <w:rPr>
      <w:rFonts w:ascii="Times New Roman" w:eastAsia="宋体" w:hAnsi="Times New Roman" w:cs="Times New Roman"/>
      <w:sz w:val="18"/>
      <w:szCs w:val="18"/>
    </w:rPr>
  </w:style>
  <w:style w:type="paragraph" w:customStyle="1" w:styleId="10">
    <w:name w:val="列出段落1"/>
    <w:basedOn w:val="a"/>
    <w:uiPriority w:val="99"/>
    <w:qFormat/>
    <w:rsid w:val="00D21AF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1394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346</Words>
  <Characters>1974</Characters>
  <Application>Microsoft Office Word</Application>
  <DocSecurity>0</DocSecurity>
  <Lines>16</Lines>
  <Paragraphs>4</Paragraphs>
  <ScaleCrop>false</ScaleCrop>
  <Company>cc</Company>
  <LinksUpToDate>false</LinksUpToDate>
  <CharactersWithSpaces>2316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2023-06-06T07:40:00Z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DA7D07A671F94F61B430BF557E8AE20F</vt:lpwstr>
  </property>
</Properties>
</file>