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南银理财珠联璧合安稳2001一年定开公募人民币理财产品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3</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南银理财珠联璧合安稳2001一年定开公募人民币理财产品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Z7003221000018（投资者可依据该编码在中国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2020年01月16日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529,542,657.00份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鑫元基金管理有限公司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报告期（2023年07月01日 - 2023年09月30日）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551,802,123.21</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1.0420</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1.1812</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2023年07月01日 - 2023年09月30日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Z30009</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2.16%</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  三季度各地陆续出台地产支持政策，部分地区地产销售表现出现一定程度的改善，但整体效果并不强劲，基本面仍呈现出数据偏弱、政策力度较强的特征。8月下旬央行降息，打开利率下行空间，但9 月以来资金面持续偏紧，降准后也未见缓解，债市出现一定调整。三季度债券收益率呈现先下后上的状态，10年期国债收益率从7月初的2.64%降至8月下旬2.54%的低点，此后逐步回升至2.65%以上，信用债跟随利率债先下后上。</w:t>
        <w:br w:type="textWrapping" w:clear="all"/>
      </w:r>
      <w:r>
        <w:rPr>
          <w:rFonts w:ascii="方正仿宋简体" w:eastAsia="方正仿宋简体" w:hint="eastAsia"/>
          <w:sz w:val="24"/>
          <w:szCs w:val="24"/>
        </w:rPr>
        <w:t>  往后看，当前基本面阶段性触底或较为确定，但经济回暖的弹性和持续性仍有待确认，经济偏弱格局未有明显改变，而且跨过季末时点，资金紧张的压力将有所缓解，叠加宽货币预期的升温，债市预计为震荡偏强格局，仍有博弈机会，策略上积极把握信用债票息价值，保持一定的杠杆水平，适时参与波段交易增厚收益。</w:t>
        <w:br w:type="textWrapping" w:clear="all"/>
      </w:r>
      <w:r>
        <w:rPr>
          <w:rFonts w:ascii="方正仿宋简体" w:eastAsia="方正仿宋简体" w:hint="eastAsia"/>
          <w:sz w:val="24"/>
          <w:szCs w:val="24"/>
        </w:rPr>
        <w:t>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截至报告期末，本产品份额净值为1.0422元。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177328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20如东02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40,000,340.13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7.25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32,022,286.34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5.80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032191173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21普陀国资PPN002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30,361,710.00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5.50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177182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G20安吉2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29,618,528.87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102280087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22海兴MTN001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20,508,980.00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3.72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102100599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21靖江港MTN001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20,288,260.00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032200107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22高淳国资PPN001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20,276,580.00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102280093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22长江开发MTN001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20,273,040.00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032191449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21江阴高新PPN002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20,246,880.00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032100776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21江北新城PPN002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20,218,860.00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3.66</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0120030000000341</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南京银行安稳2001一年定开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产品投资关联方作为管理人的资产管理产品交易金额32,000,000.00元。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支付关联方托管费26,694.72</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支付关联方代销费257,508.55元。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2023年09月30日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