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Default="001421A0" w:rsidP="00D45351">
      <w:pPr>
        <w:spacing w:before="240" w:after="72" w:line="360" w:lineRule="auto"/>
        <w:jc w:val="center"/>
        <w:rPr>
          <w:rFonts w:asciiTheme="minorEastAsia" w:eastAsiaTheme="minorEastAsia" w:hAnsiTheme="minorEastAsia"/>
        </w:rPr>
      </w:pP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
      </w:r>
      <w:proofErr w:type="spellStart"/>
      <w:r w:rsidRPr="00210CF6">
        <w:rPr>
          <w:rFonts w:ascii="方正黑体简体" w:eastAsia="方正黑体简体" w:hAnsi="Calibri" w:hint="eastAsia"/>
          <w:sz w:val="36"/>
        </w:rPr>
        <w:t/>
      </w:r>
      <w:proofErr w:type="spellEnd"/>
      <w:r w:rsidRPr="00210CF6">
        <w:rPr>
          <w:rFonts w:ascii="方正黑体简体" w:eastAsia="方正黑体简体" w:hAnsi="Calibri" w:hint="eastAsia"/>
          <w:sz w:val="36"/>
        </w:rPr>
        <w:t>南银理财珠联璧合安稳1902一年定开公募人民币理财产品</w:t>
      </w:r>
    </w:p>
    <w:p w:rsidR="001421A0" w:rsidRPr="00210CF6" w:rsidRDefault="00B1693A" w:rsidP="00D45351">
      <w:pPr>
        <w:spacing w:before="240" w:after="72" w:line="360" w:lineRule="auto"/>
        <w:jc w:val="center"/>
        <w:rPr>
          <w:rFonts w:ascii="方正黑体简体" w:eastAsia="方正黑体简体" w:hAnsi="Calibri"/>
          <w:sz w:val="36"/>
        </w:rPr>
      </w:pPr>
      <w:r w:rsidRPr="00210CF6">
        <w:rPr>
          <w:rFonts w:ascii="方正黑体简体" w:eastAsia="方正黑体简体" w:hAnsi="Calibri" w:hint="eastAsia"/>
          <w:sz w:val="36"/>
        </w:rPr>
        <w:t>2023年第</w:t>
      </w:r>
      <w:r w:rsidR="007E0C90" w:rsidRPr="00210CF6">
        <w:rPr>
          <w:rFonts w:ascii="方正黑体简体" w:eastAsia="方正黑体简体" w:hAnsi="Calibri" w:hint="eastAsia"/>
          <w:sz w:val="36"/>
        </w:rPr>
        <w:t>4</w:t>
      </w:r>
      <w:r w:rsidRPr="00210CF6">
        <w:rPr>
          <w:rFonts w:ascii="方正黑体简体" w:eastAsia="方正黑体简体" w:hAnsi="Calibri" w:hint="eastAsia"/>
          <w:sz w:val="36"/>
        </w:rPr>
        <w:t>季度报告</w:t>
      </w: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Default="001421A0" w:rsidP="00D45351">
      <w:pPr>
        <w:spacing w:before="240" w:after="72" w:line="360" w:lineRule="auto"/>
        <w:jc w:val="center"/>
        <w:rPr>
          <w:rFonts w:ascii="方正黑体简体" w:eastAsia="方正黑体简体"/>
          <w:sz w:val="36"/>
          <w:szCs w:val="36"/>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产品管理人:南银理财有限责任公司</w:t>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产品托管人:南京银行股份有限公司</w:t>
      </w:r>
    </w:p>
    <w:p w:rsidR="001421A0" w:rsidRPr="00B86655" w:rsidRDefault="001421A0" w:rsidP="00D45351">
      <w:pPr>
        <w:spacing w:before="240" w:after="72" w:line="360" w:lineRule="auto"/>
        <w:jc w:val="center"/>
        <w:rPr>
          <w:rFonts w:ascii="方正黑体简体" w:eastAsia="方正黑体简体"/>
          <w:sz w:val="36"/>
          <w:szCs w:val="36"/>
        </w:rPr>
      </w:pPr>
    </w:p>
    <w:p w:rsidR="000B4524" w:rsidRPr="00B86655" w:rsidRDefault="000B4524" w:rsidP="00D45351">
      <w:pPr>
        <w:spacing w:before="240" w:after="72" w:line="360" w:lineRule="auto"/>
        <w:jc w:val="center"/>
        <w:rPr>
          <w:rFonts w:ascii="方正黑体简体" w:eastAsia="方正黑体简体"/>
          <w:sz w:val="36"/>
          <w:szCs w:val="36"/>
        </w:rPr>
      </w:pPr>
      <w:r w:rsidRPr="00B86655">
        <w:rPr>
          <w:rFonts w:ascii="方正黑体简体" w:eastAsia="方正黑体简体"/>
          <w:sz w:val="36"/>
          <w:szCs w:val="36"/>
        </w:rPr>
        <w:br w:type="page"/>
      </w: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lastRenderedPageBreak/>
        <w:t>§1 产品概况</w:t>
      </w:r>
    </w:p>
    <w:tbl>
      <w:tblPr>
        <w:tblW w:w="895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894"/>
        <w:gridCol w:w="6065"/>
      </w:tblGrid>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产品全称</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南银理财珠联璧合安稳1902一年定开公募人民币理财产品</w:t>
            </w:r>
          </w:p>
        </w:tc>
      </w:tr>
      <w:tr w:rsidR="001421A0" w:rsidTr="005B2789">
        <w:trPr>
          <w:trHeight w:val="1207"/>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产品登记编码</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Z7003221000027（投资者可依据该编码在中国</w:t>
            </w:r>
            <w:proofErr w:type="gramStart"/>
            <w:r w:rsidRPr="0063323A">
              <w:rPr>
                <w:rFonts w:ascii="方正仿宋简体" w:eastAsia="方正仿宋简体" w:hint="eastAsia"/>
                <w:sz w:val="24"/>
                <w:szCs w:val="24"/>
              </w:rPr>
              <w:t>理财网</w:t>
            </w:r>
            <w:proofErr w:type="gramEnd"/>
            <w:r w:rsidRPr="0063323A">
              <w:rPr>
                <w:rFonts w:ascii="方正仿宋简体" w:eastAsia="方正仿宋简体" w:hint="eastAsia"/>
                <w:sz w:val="24"/>
                <w:szCs w:val="24"/>
              </w:rPr>
              <w:t>www.chinawealth.com.cn查询理财产品相关信息）</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产品运作方式</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开放式净值型</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产品成立日</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2019年02月20日</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报告期末产品份额总额</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996,243,009.40份</w:t>
            </w:r>
          </w:p>
        </w:tc>
      </w:tr>
      <w:tr w:rsidR="001421A0" w:rsidTr="005B2789">
        <w:trPr>
          <w:trHeight w:val="639"/>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合作机构</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中粮信托有限责任公司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产品管理人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南银理财有限责任公司</w:t>
            </w:r>
          </w:p>
        </w:tc>
      </w:tr>
      <w:tr w:rsidR="001421A0" w:rsidTr="005B2789">
        <w:trPr>
          <w:trHeight w:val="663"/>
        </w:trPr>
        <w:tc>
          <w:tcPr>
            <w:tcW w:w="2894"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产品托管人</w:t>
            </w:r>
          </w:p>
        </w:tc>
        <w:tc>
          <w:tcPr>
            <w:tcW w:w="6065" w:type="dxa"/>
            <w:vAlign w:val="center"/>
          </w:tcPr>
          <w:p w:rsidR="001421A0" w:rsidRPr="0063323A" w:rsidRDefault="00B1693A" w:rsidP="007E0C90">
            <w:pPr>
              <w:snapToGrid/>
              <w:spacing w:beforeLines="20" w:before="48" w:afterLines="20" w:after="48"/>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南京银行股份有限公司</w:t>
            </w:r>
          </w:p>
        </w:tc>
      </w:tr>
    </w:tbl>
    <w:p w:rsidR="001421A0" w:rsidRDefault="001421A0" w:rsidP="00D45351">
      <w:pPr>
        <w:spacing w:before="240" w:after="72" w:line="360" w:lineRule="auto"/>
        <w:rPr>
          <w:rFonts w:ascii="方正仿宋_GBK" w:eastAsia="方正仿宋_GBK" w:hAnsi="宋体" w:cs="宋体"/>
          <w:kern w:val="0"/>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§2  主要财务指标和产品业绩比较基准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2.1 主要财务指标</w:t>
      </w:r>
    </w:p>
    <w:p w:rsidR="001421A0" w:rsidRPr="0063323A" w:rsidRDefault="00B1693A" w:rsidP="00D45351">
      <w:pPr>
        <w:spacing w:before="240" w:after="72" w:line="360" w:lineRule="auto"/>
        <w:jc w:val="right"/>
        <w:rPr>
          <w:rFonts w:ascii="方正仿宋简体" w:eastAsia="方正仿宋简体"/>
          <w:sz w:val="24"/>
          <w:szCs w:val="24"/>
        </w:rPr>
      </w:pPr>
      <w:r w:rsidRPr="0063323A">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296"/>
        <w:gridCol w:w="2705"/>
        <w:gridCol w:w="2030"/>
        <w:gridCol w:w="2036"/>
      </w:tblGrid>
      <w:tr w:rsidR="001421A0" w:rsidTr="005B2789">
        <w:trPr>
          <w:trHeight w:val="613"/>
          <w:jc w:val="center"/>
        </w:trPr>
        <w:tc>
          <w:tcPr>
            <w:tcW w:w="2296" w:type="dxa"/>
            <w:vMerge w:val="restart"/>
            <w:vAlign w:val="center"/>
          </w:tcPr>
          <w:p w:rsidR="001421A0" w:rsidRPr="0063323A" w:rsidRDefault="00B1693A" w:rsidP="007E0C90">
            <w:pPr>
              <w:spacing w:beforeLines="20" w:before="48" w:afterLines="20" w:after="48" w:line="360" w:lineRule="auto"/>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6771" w:type="dxa"/>
            <w:gridSpan w:val="3"/>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报告期（2023年10月01日 - 2023年12月31日）</w:t>
            </w:r>
          </w:p>
        </w:tc>
      </w:tr>
      <w:tr w:rsidR="001421A0" w:rsidTr="005B2789">
        <w:trPr>
          <w:trHeight w:val="1664"/>
          <w:jc w:val="center"/>
        </w:trPr>
        <w:tc>
          <w:tcPr>
            <w:tcW w:w="2296" w:type="dxa"/>
            <w:vMerge/>
            <w:vAlign w:val="center"/>
          </w:tcPr>
          <w:p w:rsidR="001421A0" w:rsidRPr="0063323A" w:rsidRDefault="001421A0" w:rsidP="007E0C90">
            <w:pPr>
              <w:spacing w:beforeLines="20" w:before="48" w:afterLines="20" w:after="48" w:line="360" w:lineRule="auto"/>
              <w:jc w:val="center"/>
              <w:rPr>
                <w:rFonts w:ascii="方正仿宋简体" w:eastAsia="方正仿宋简体"/>
                <w:sz w:val="24"/>
                <w:szCs w:val="24"/>
              </w:rPr>
            </w:pPr>
          </w:p>
        </w:tc>
        <w:tc>
          <w:tcPr>
            <w:tcW w:w="2705"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1.期末产品最后一个市场交易</w:t>
            </w:r>
            <w:proofErr w:type="gramStart"/>
            <w:r w:rsidRPr="0063323A">
              <w:rPr>
                <w:rFonts w:ascii="方正仿宋简体" w:eastAsia="方正仿宋简体" w:hint="eastAsia"/>
                <w:sz w:val="24"/>
                <w:szCs w:val="24"/>
              </w:rPr>
              <w:t>日资产</w:t>
            </w:r>
            <w:proofErr w:type="gramEnd"/>
            <w:r w:rsidRPr="0063323A">
              <w:rPr>
                <w:rFonts w:ascii="方正仿宋简体" w:eastAsia="方正仿宋简体" w:hint="eastAsia"/>
                <w:sz w:val="24"/>
                <w:szCs w:val="24"/>
              </w:rPr>
              <w:t>净值</w:t>
            </w:r>
          </w:p>
        </w:tc>
        <w:tc>
          <w:tcPr>
            <w:tcW w:w="2030"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2.期末产品最后一个市场交易日份额净值</w:t>
            </w:r>
          </w:p>
        </w:tc>
        <w:tc>
          <w:tcPr>
            <w:tcW w:w="2036"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3.期末产品最后一个市场交易日份额累计净值</w:t>
            </w:r>
          </w:p>
        </w:tc>
      </w:tr>
      <w:tr>
        <w:trPr>
          <w:trHeight w:val="557"/>
          <w:jc w:val="center"/>
        </w:trPr>
        <w:tc>
          <w:tcPr>
            <w:tcW w:w="229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705"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1,038,718,347.21</w:t>
            </w:r>
          </w:p>
        </w:tc>
        <w:tc>
          <w:tcPr>
            <w:tcW w:w="2030"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w:t>
            </w:r>
          </w:p>
        </w:tc>
        <w:tc>
          <w:tcPr>
            <w:tcW w:w="2036" w:type="dxa"/>
            <w:vAlign w:val="center"/>
            <w:vAlign w:val="center"/>
          </w:tcPr>
          <w:p>
            <w:pPr>
              <w:spacing w:beforeLines="20" w:before="48" w:afterLines="20" w:after="48"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1.2261</w:t>
            </w:r>
          </w:p>
        </w:tc>
      </w:tr>
    </w:tbl>
    <w:p w:rsidR="001421A0" w:rsidRPr="0063323A" w:rsidRDefault="00B1693A" w:rsidP="00D45351">
      <w:pPr>
        <w:pStyle w:val="biaogeleft"/>
        <w:spacing w:before="240" w:after="72" w:line="360" w:lineRule="auto"/>
        <w:ind w:left="0"/>
        <w:rPr>
          <w:rFonts w:ascii="方正仿宋简体" w:eastAsia="方正仿宋简体" w:hAnsi="Times New Roman" w:cs="Times New Roman"/>
          <w:kern w:val="2"/>
        </w:rPr>
      </w:pPr>
      <w:r w:rsidRPr="0063323A">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 产品业绩比较基准</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2.2.1本报告期产品业绩比较基准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4485"/>
        <w:gridCol w:w="2095"/>
        <w:gridCol w:w="2322"/>
      </w:tblGrid>
      <w:tr w:rsidR="001421A0" w:rsidTr="00B1693A">
        <w:trPr>
          <w:jc w:val="center"/>
        </w:trPr>
        <w:tc>
          <w:tcPr>
            <w:tcW w:w="453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阶段</w:t>
            </w:r>
          </w:p>
        </w:tc>
        <w:tc>
          <w:tcPr>
            <w:tcW w:w="2118"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内部销售代码</w:t>
            </w:r>
          </w:p>
        </w:tc>
        <w:tc>
          <w:tcPr>
            <w:tcW w:w="2347" w:type="dxa"/>
            <w:vAlign w:val="center"/>
          </w:tcPr>
          <w:p w:rsidR="001421A0" w:rsidRPr="0063323A" w:rsidRDefault="00B1693A" w:rsidP="007E0C90">
            <w:pPr>
              <w:snapToGrid/>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业绩比较基准</w:t>
            </w:r>
          </w:p>
        </w:tc>
      </w:tr>
      <w:tr>
        <w:trPr>
          <w:jc w:val="center"/>
        </w:trPr>
        <w:tc>
          <w:tcPr>
            <w:tcW w:w="453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2023年10月01日 - 2023年12月31日</w:t>
            </w:r>
          </w:p>
        </w:tc>
        <w:tc>
          <w:tcPr>
            <w:tcW w:w="2118"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Z10022</w:t>
            </w:r>
          </w:p>
        </w:tc>
        <w:tc>
          <w:tcPr>
            <w:tcW w:w="2347" w:type="dxa"/>
            <w:vAlign w:val="center"/>
            <w:vAlign w:val="center"/>
          </w:tcPr>
          <w:p>
            <w:pPr>
              <w:snapToGrid/>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3.58%</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§3  管理人报告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3.1 报告期内产品的投资策略和运作分析</w:t>
      </w:r>
      <w:r w:rsidRPr="00210CF6">
        <w:rPr>
          <w:rFonts w:ascii="方正仿宋简体" w:eastAsia="方正仿宋简体" w:hint="eastAsia"/>
          <w:b/>
          <w:sz w:val="24"/>
          <w:szCs w:val="24"/>
        </w:rPr>
        <w:tab/>
      </w:r>
    </w:p>
    <w:p w:rsidR="001421A0" w:rsidRPr="0063323A" w:rsidRDefault="00B1693A" w:rsidP="00D45351">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操作上产品保持一定的杠杆水平，精选个券把握票息，适时参与波段交易增厚收益。</w:t>
        <w:br w:type="textWrapping" w:clear="all"/>
      </w:r>
      <w:r>
        <w:rPr>
          <w:rFonts w:ascii="方正仿宋简体" w:eastAsia="方正仿宋简体" w:hint="eastAsia"/>
          <w:sz w:val="24"/>
          <w:szCs w:val="24"/>
        </w:rPr>
        <w:t>  本产品为中长期、定期开放式产品，在运作期内积极采用杠杆、久期等工具获取收益增厚。往后看，债市大幅调整的风险相对可控，本产品操作上将以中性策略应对震荡行情，静待政策及市场逐步明朗，并继续关注票息资产，适时适度采用杠杆增厚，组合保持久期中性，留有进退空间。</w:t>
      </w: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3.2 报告期内产品的流动性风险分析</w:t>
      </w:r>
    </w:p>
    <w:p w:rsidR="001421A0" w:rsidRPr="0063323A" w:rsidRDefault="00B1693A" w:rsidP="00D45351">
      <w:pPr>
        <w:spacing w:before="240" w:after="72" w:line="360" w:lineRule="auto"/>
        <w:rPr>
          <w:rFonts w:ascii="方正仿宋简体" w:eastAsia="方正仿宋简体"/>
          <w:sz w:val="24"/>
          <w:szCs w:val="24"/>
        </w:rPr>
      </w:pPr>
      <w:r w:rsidRPr="0063323A">
        <w:rPr>
          <w:rFonts w:ascii="方正仿宋简体" w:eastAsia="方正仿宋简体"/>
          <w:sz w:val="24"/>
          <w:szCs w:val="24"/>
        </w:rPr>
        <w:t/>
      </w:r>
      <w:proofErr w:type="spellStart"/>
      <w:r w:rsidRPr="0063323A">
        <w:rPr>
          <w:rFonts w:ascii="方正仿宋简体" w:eastAsia="方正仿宋简体"/>
          <w:sz w:val="24"/>
          <w:szCs w:val="24"/>
        </w:rPr>
        <w:t/>
      </w:r>
      <w:proofErr w:type="spellEnd"/>
      <w:r w:rsidRPr="0063323A">
        <w:rPr>
          <w:rFonts w:ascii="方正仿宋简体" w:eastAsia="方正仿宋简体"/>
          <w:sz w:val="24"/>
          <w:szCs w:val="24"/>
        </w:rPr>
        <w:t>  本产品持仓中维持合理比例高流动性资产，杠杆处于合理水平，流动性状况较好。</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3.3 报告期内产品的业绩表现</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截至报告期末，本产品份额净值为1.0426元。</w:t>
      </w:r>
    </w:p>
    <w:p w:rsidR="001421A0" w:rsidRDefault="001421A0" w:rsidP="00D45351">
      <w:pPr>
        <w:spacing w:before="240" w:after="72" w:line="360" w:lineRule="auto"/>
        <w:rPr>
          <w:rFonts w:ascii="方正仿宋_GBK" w:eastAsia="方正仿宋_GBK" w:hAnsi="宋体"/>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§4  投资组合报告</w:t>
      </w: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proofErr w:type="gramStart"/>
            <w:r w:rsidRPr="0063323A">
              <w:rPr>
                <w:rFonts w:ascii="方正仿宋简体" w:eastAsia="方正仿宋简体" w:hint="eastAsia"/>
                <w:sz w:val="24"/>
                <w:szCs w:val="24"/>
              </w:rPr>
              <w:t>穿透前占总</w:t>
            </w:r>
            <w:proofErr w:type="gramEnd"/>
            <w:r w:rsidRPr="0063323A">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穿透后占总资产比例</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100.00%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0.00%</w:t>
            </w:r>
          </w:p>
        </w:tc>
      </w:tr>
      <w:tr w:rsidR="007D7CB7" w:rsidTr="00395C1C">
        <w:tc>
          <w:tcPr>
            <w:tcW w:w="738"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7D7CB7" w:rsidRPr="0063323A" w:rsidRDefault="007D7CB7"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100.00%</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1693A" w:rsidTr="00395C1C">
        <w:trPr>
          <w:trHeight w:val="1233"/>
          <w:jc w:val="center"/>
        </w:trPr>
        <w:tc>
          <w:tcPr>
            <w:tcW w:w="75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8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代码</w:t>
            </w:r>
          </w:p>
        </w:tc>
        <w:tc>
          <w:tcPr>
            <w:tcW w:w="272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名称</w:t>
            </w:r>
          </w:p>
        </w:tc>
        <w:tc>
          <w:tcPr>
            <w:tcW w:w="2058"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公允价值（元）</w:t>
            </w:r>
          </w:p>
        </w:tc>
        <w:tc>
          <w:tcPr>
            <w:tcW w:w="1812"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23880473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200,124,756.22</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19.27</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23881826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119,980,789.26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11.55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23880971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100,043,864.36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ZJQTT202308180021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中粮信托鼎兴1号集合资金信托计划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100,011,261.15</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102281816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22钟楼新城MTN001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39,996,480.00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032191333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21惠山开发PPN001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30,279,720.00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197325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21新港02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152272</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19龙游债</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24,000,000.00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2180328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21新昌债02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20,974,920.00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102380701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23镇江城建MTN002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20,688,820.00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1.99</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rPr>
          <w:rFonts w:ascii="方正仿宋简体" w:eastAsia="方正仿宋简体"/>
          <w:b/>
          <w:sz w:val="24"/>
          <w:szCs w:val="24"/>
        </w:rPr>
      </w:pPr>
      <w:r w:rsidRPr="00210CF6">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63"/>
        <w:gridCol w:w="1671"/>
        <w:gridCol w:w="1252"/>
        <w:gridCol w:w="1511"/>
        <w:gridCol w:w="1357"/>
        <w:gridCol w:w="1248"/>
        <w:gridCol w:w="1000"/>
      </w:tblGrid>
      <w:tr w:rsidR="00B1693A" w:rsidTr="00395C1C">
        <w:trPr>
          <w:trHeight w:val="1078"/>
          <w:jc w:val="center"/>
        </w:trPr>
        <w:tc>
          <w:tcPr>
            <w:tcW w:w="87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704"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融资客户</w:t>
            </w:r>
          </w:p>
        </w:tc>
        <w:tc>
          <w:tcPr>
            <w:tcW w:w="1275"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项目名称</w:t>
            </w:r>
          </w:p>
        </w:tc>
        <w:tc>
          <w:tcPr>
            <w:tcW w:w="1540"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剩余融资期限（</w:t>
            </w:r>
            <w:r w:rsidRPr="0063323A">
              <w:rPr>
                <w:rFonts w:ascii="方正仿宋简体" w:eastAsia="方正仿宋简体"/>
                <w:sz w:val="24"/>
                <w:szCs w:val="24"/>
              </w:rPr>
              <w:t>天）</w:t>
            </w:r>
          </w:p>
        </w:tc>
        <w:tc>
          <w:tcPr>
            <w:tcW w:w="1383"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到期收益分配</w:t>
            </w:r>
          </w:p>
        </w:tc>
        <w:tc>
          <w:tcPr>
            <w:tcW w:w="1271"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交易结构</w:t>
            </w:r>
          </w:p>
        </w:tc>
        <w:tc>
          <w:tcPr>
            <w:tcW w:w="1017" w:type="dxa"/>
            <w:vAlign w:val="center"/>
          </w:tcPr>
          <w:p w:rsidR="00B1693A" w:rsidRPr="0063323A" w:rsidRDefault="00B1693A"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龙城产业投资控股集团有限公司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23龙城控股02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宜兴市城市发展投资有限公司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23宜兴城投01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常州市城市建设(集团)有限公司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23常州城建10</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10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421A0" w:rsidRDefault="001421A0" w:rsidP="00D45351">
      <w:pPr>
        <w:spacing w:before="240" w:after="72" w:line="360" w:lineRule="auto"/>
        <w:rPr>
          <w:rFonts w:ascii="方正仿宋_GBK" w:eastAsia="方正仿宋_GBK" w:hAnsi="宋体" w:cs="宋体"/>
          <w:sz w:val="24"/>
          <w:szCs w:val="24"/>
          <w:shd w:val="clear" w:color="auto" w:fill="FFFFFF"/>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696"/>
        <w:gridCol w:w="1567"/>
        <w:gridCol w:w="2668"/>
        <w:gridCol w:w="1983"/>
        <w:gridCol w:w="1988"/>
      </w:tblGrid>
      <w:tr w:rsidR="00B612B8" w:rsidTr="007C7DC4">
        <w:trPr>
          <w:trHeight w:val="584"/>
          <w:jc w:val="center"/>
        </w:trPr>
        <w:tc>
          <w:tcPr>
            <w:tcW w:w="696"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序号</w:t>
            </w:r>
          </w:p>
        </w:tc>
        <w:tc>
          <w:tcPr>
            <w:tcW w:w="1567"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账户类型</w:t>
            </w:r>
          </w:p>
        </w:tc>
        <w:tc>
          <w:tcPr>
            <w:tcW w:w="266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账号</w:t>
            </w:r>
          </w:p>
        </w:tc>
        <w:tc>
          <w:tcPr>
            <w:tcW w:w="1983"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账户名称</w:t>
            </w:r>
          </w:p>
        </w:tc>
        <w:tc>
          <w:tcPr>
            <w:tcW w:w="1988" w:type="dxa"/>
            <w:vAlign w:val="center"/>
          </w:tcPr>
          <w:p w:rsidR="00B612B8" w:rsidRPr="0063323A" w:rsidRDefault="00B612B8" w:rsidP="007E0C90">
            <w:pPr>
              <w:spacing w:beforeLines="20" w:before="48" w:afterLines="20" w:after="48"/>
              <w:jc w:val="center"/>
              <w:rPr>
                <w:rFonts w:ascii="方正仿宋简体" w:eastAsia="方正仿宋简体"/>
                <w:sz w:val="24"/>
                <w:szCs w:val="24"/>
              </w:rPr>
            </w:pPr>
            <w:r w:rsidRPr="0063323A">
              <w:rPr>
                <w:rFonts w:ascii="方正仿宋简体" w:eastAsia="方正仿宋简体" w:hint="eastAsia"/>
                <w:sz w:val="24"/>
                <w:szCs w:val="24"/>
              </w:rPr>
              <w:t>开户单位</w:t>
            </w:r>
          </w:p>
        </w:tc>
      </w:tr>
      <w:tr>
        <w:trPr>
          <w:trHeight w:val="584"/>
          <w:jc w:val="center"/>
        </w:trPr>
        <w:tc>
          <w:tcPr>
            <w:tcW w:w="69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0120010000000257</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南京银行安稳1902一年定开</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421A0" w:rsidRDefault="001421A0" w:rsidP="00D45351">
      <w:pPr>
        <w:spacing w:before="240" w:after="72" w:line="360" w:lineRule="auto"/>
        <w:rPr>
          <w:rFonts w:ascii="方正仿宋_GBK" w:eastAsia="方正仿宋_GBK"/>
          <w:sz w:val="24"/>
          <w:szCs w:val="24"/>
        </w:rPr>
      </w:pPr>
    </w:p>
    <w:p w:rsidR="001421A0" w:rsidRPr="00210CF6" w:rsidRDefault="00B1693A" w:rsidP="00D45351">
      <w:pPr>
        <w:spacing w:before="240" w:after="72" w:line="360" w:lineRule="auto"/>
        <w:jc w:val="center"/>
        <w:rPr>
          <w:rFonts w:ascii="方正仿宋简体" w:eastAsia="方正仿宋简体"/>
          <w:b/>
          <w:sz w:val="24"/>
          <w:szCs w:val="24"/>
        </w:rPr>
      </w:pPr>
      <w:r w:rsidRPr="00210CF6">
        <w:rPr>
          <w:rFonts w:ascii="方正仿宋简体" w:eastAsia="方正仿宋简体" w:hint="eastAsia"/>
          <w:b/>
          <w:sz w:val="24"/>
          <w:szCs w:val="24"/>
        </w:rPr>
        <w:t>§6 关联交易情况</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报告期内，产品投资于关联</w:t>
      </w:r>
      <w:bookmarkStart w:id="0" w:name="_GoBack"/>
      <w:bookmarkEnd w:id="0"/>
      <w:proofErr w:type="gramStart"/>
      <w:r w:rsidRPr="0063323A">
        <w:rPr>
          <w:rFonts w:ascii="方正仿宋简体" w:eastAsia="方正仿宋简体" w:hint="eastAsia"/>
          <w:sz w:val="24"/>
          <w:szCs w:val="24"/>
        </w:rPr>
        <w:t>方发行</w:t>
      </w:r>
      <w:proofErr w:type="gramEnd"/>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的证券、关联方作为融资人的非标准化债权类资产业务交易金额0.00元。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产品投资于关联方承销的证券交易金额0.00元。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产品与关联方作为交易对手开展的投融资业务交易金额0.00元。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产品投资关联方作为管理人的资产管理产品交易金额40,000,000.00元。</w:t>
      </w:r>
    </w:p>
    <w:p w:rsidR="001421A0" w:rsidRPr="0063323A" w:rsidRDefault="006754C1"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lastRenderedPageBreak/>
        <w:t>产品</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支付关联方托管费49,675.99</w:t>
      </w:r>
      <w:r w:rsidRPr="0063323A">
        <w:rPr>
          <w:rFonts w:ascii="方正仿宋简体" w:eastAsia="方正仿宋简体" w:hint="eastAsia"/>
          <w:sz w:val="24"/>
          <w:szCs w:val="24"/>
        </w:rPr>
        <w:t>元，</w:t>
      </w:r>
      <w:r w:rsidR="00B1693A" w:rsidRPr="0063323A">
        <w:rPr>
          <w:rFonts w:ascii="方正仿宋简体" w:eastAsia="方正仿宋简体" w:hint="eastAsia"/>
          <w:sz w:val="24"/>
          <w:szCs w:val="24"/>
        </w:rPr>
        <w:t/>
      </w:r>
      <w:proofErr w:type="spellStart"/>
      <w:r w:rsidR="00B1693A" w:rsidRPr="0063323A">
        <w:rPr>
          <w:rFonts w:ascii="方正仿宋简体" w:eastAsia="方正仿宋简体" w:hint="eastAsia"/>
          <w:sz w:val="24"/>
          <w:szCs w:val="24"/>
        </w:rPr>
        <w:t/>
      </w:r>
      <w:proofErr w:type="spellEnd"/>
      <w:r w:rsidR="00B1693A" w:rsidRPr="0063323A">
        <w:rPr>
          <w:rFonts w:ascii="方正仿宋简体" w:eastAsia="方正仿宋简体" w:hint="eastAsia"/>
          <w:sz w:val="24"/>
          <w:szCs w:val="24"/>
        </w:rPr>
        <w:t>支付关联方代销费464,007.58元。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
      </w:r>
      <w:proofErr w:type="spellStart"/>
      <w:r w:rsidRPr="0063323A">
        <w:rPr>
          <w:rFonts w:ascii="方正仿宋简体" w:eastAsia="方正仿宋简体" w:hint="eastAsia"/>
          <w:sz w:val="24"/>
          <w:szCs w:val="24"/>
        </w:rPr>
        <w:t/>
      </w:r>
      <w:proofErr w:type="spellEnd"/>
      <w:r w:rsidRPr="0063323A">
        <w:rPr>
          <w:rFonts w:ascii="方正仿宋简体" w:eastAsia="方正仿宋简体" w:hint="eastAsia"/>
          <w:sz w:val="24"/>
          <w:szCs w:val="24"/>
        </w:rPr>
        <w:t>产品发生其他关联交易金额0.00元。</w:t>
      </w:r>
    </w:p>
    <w:p w:rsidR="001421A0" w:rsidRPr="0063323A" w:rsidRDefault="00B1693A" w:rsidP="00D45351">
      <w:pPr>
        <w:snapToGrid/>
        <w:spacing w:before="240" w:after="72" w:line="360" w:lineRule="auto"/>
        <w:ind w:firstLineChars="200" w:firstLine="480"/>
        <w:jc w:val="both"/>
        <w:rPr>
          <w:rFonts w:ascii="方正仿宋简体" w:eastAsia="方正仿宋简体"/>
          <w:sz w:val="24"/>
          <w:szCs w:val="24"/>
        </w:rPr>
      </w:pPr>
      <w:r w:rsidRPr="0063323A">
        <w:rPr>
          <w:rFonts w:ascii="方正仿宋简体" w:eastAsia="方正仿宋简体" w:hint="eastAsia"/>
          <w:sz w:val="24"/>
          <w:szCs w:val="24"/>
        </w:rPr>
        <w:t>报告期内，产品未发生重大关联交易。</w:t>
      </w:r>
    </w:p>
    <w:p w:rsidR="001421A0" w:rsidRDefault="001421A0" w:rsidP="00D45351">
      <w:pPr>
        <w:spacing w:before="240" w:after="72" w:line="360" w:lineRule="auto"/>
        <w:rPr>
          <w:rFonts w:ascii="方正仿宋_GBK" w:eastAsia="方正仿宋_GBK"/>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rPr>
          <w:rFonts w:ascii="方正仿宋_GBK" w:eastAsia="方正仿宋_GBK" w:hAnsi="宋体" w:cs="宋体"/>
          <w:kern w:val="0"/>
          <w:sz w:val="24"/>
          <w:szCs w:val="24"/>
        </w:rPr>
      </w:pPr>
    </w:p>
    <w:p w:rsidR="001421A0" w:rsidRDefault="001421A0" w:rsidP="00D45351">
      <w:pPr>
        <w:spacing w:before="240" w:after="72" w:line="360" w:lineRule="auto"/>
        <w:jc w:val="right"/>
        <w:rPr>
          <w:rFonts w:ascii="方正仿宋_GBK" w:eastAsia="方正仿宋_GBK"/>
          <w:b/>
          <w:sz w:val="24"/>
          <w:szCs w:val="24"/>
        </w:rPr>
      </w:pP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南银理财有限责任公司</w:t>
      </w:r>
    </w:p>
    <w:p w:rsidR="001421A0" w:rsidRPr="00210CF6" w:rsidRDefault="00B1693A" w:rsidP="00D45351">
      <w:pPr>
        <w:spacing w:before="240" w:after="72" w:line="360" w:lineRule="auto"/>
        <w:jc w:val="right"/>
        <w:rPr>
          <w:rFonts w:ascii="方正仿宋简体" w:eastAsia="方正仿宋简体"/>
          <w:b/>
          <w:sz w:val="24"/>
          <w:szCs w:val="24"/>
        </w:rPr>
      </w:pPr>
      <w:r w:rsidRPr="00210CF6">
        <w:rPr>
          <w:rFonts w:ascii="方正仿宋简体" w:eastAsia="方正仿宋简体" w:hint="eastAsia"/>
          <w:b/>
          <w:sz w:val="24"/>
          <w:szCs w:val="24"/>
        </w:rPr>
        <w:t/>
      </w:r>
      <w:proofErr w:type="spellStart"/>
      <w:r w:rsidRPr="00210CF6">
        <w:rPr>
          <w:rFonts w:ascii="方正仿宋简体" w:eastAsia="方正仿宋简体" w:hint="eastAsia"/>
          <w:b/>
          <w:sz w:val="24"/>
          <w:szCs w:val="24"/>
        </w:rPr>
        <w:t/>
      </w:r>
      <w:proofErr w:type="spellEnd"/>
      <w:r w:rsidRPr="00210CF6">
        <w:rPr>
          <w:rFonts w:ascii="方正仿宋简体" w:eastAsia="方正仿宋简体" w:hint="eastAsia"/>
          <w:b/>
          <w:sz w:val="24"/>
          <w:szCs w:val="24"/>
        </w:rPr>
        <w:t>2023年12月31日</w:t>
      </w:r>
    </w:p>
    <w:sectPr w:rsidR="001421A0" w:rsidRPr="00210CF6" w:rsidSect="00D21AF8">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B94" w:rsidRDefault="00012B94">
      <w:pPr>
        <w:spacing w:after="72"/>
      </w:pPr>
      <w:r>
        <w:separator/>
      </w:r>
    </w:p>
  </w:endnote>
  <w:endnote w:type="continuationSeparator" w:id="0">
    <w:p w:rsidR="00012B94" w:rsidRDefault="00012B94">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7620E9">
    <w:pPr>
      <w:pStyle w:val="a3"/>
      <w:framePr w:wrap="around" w:vAnchor="text" w:hAnchor="margin" w:xAlign="center" w:y="1"/>
      <w:spacing w:after="72"/>
      <w:rPr>
        <w:rStyle w:val="a6"/>
      </w:rPr>
    </w:pPr>
    <w:r>
      <w:fldChar w:fldCharType="begin"/>
    </w:r>
    <w:r w:rsidR="00B1693A">
      <w:rPr>
        <w:rStyle w:val="a6"/>
      </w:rPr>
      <w:instrText xml:space="preserve">PAGE  </w:instrText>
    </w:r>
    <w:r>
      <w:fldChar w:fldCharType="end"/>
    </w:r>
  </w:p>
  <w:p w:rsidR="001421A0" w:rsidRDefault="001421A0">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B94" w:rsidRDefault="00012B94">
      <w:pPr>
        <w:spacing w:after="72"/>
      </w:pPr>
      <w:r>
        <w:separator/>
      </w:r>
    </w:p>
  </w:footnote>
  <w:footnote w:type="continuationSeparator" w:id="0">
    <w:p w:rsidR="00012B94" w:rsidRDefault="00012B94">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1A0" w:rsidRDefault="001421A0">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54F116F"/>
    <w:rsid w:val="67344534"/>
    <w:rsid w:val="6B00012E"/>
    <w:rsid w:val="702871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BBC1D393-2AB7-4BC9-8108-9677E6C81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1AF8"/>
    <w:pPr>
      <w:widowControl w:val="0"/>
      <w:snapToGrid w:val="0"/>
      <w:spacing w:afterLines="30"/>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D21AF8"/>
    <w:pPr>
      <w:tabs>
        <w:tab w:val="center" w:pos="4153"/>
        <w:tab w:val="right" w:pos="8306"/>
      </w:tabs>
    </w:pPr>
    <w:rPr>
      <w:rFonts w:eastAsiaTheme="minorEastAsia"/>
      <w:sz w:val="18"/>
      <w:szCs w:val="18"/>
    </w:rPr>
  </w:style>
  <w:style w:type="paragraph" w:styleId="a4">
    <w:name w:val="header"/>
    <w:basedOn w:val="a"/>
    <w:link w:val="Char0"/>
    <w:uiPriority w:val="99"/>
    <w:unhideWhenUsed/>
    <w:qFormat/>
    <w:rsid w:val="00D21AF8"/>
    <w:pPr>
      <w:pBdr>
        <w:bottom w:val="single" w:sz="6" w:space="1" w:color="auto"/>
      </w:pBdr>
      <w:tabs>
        <w:tab w:val="center" w:pos="4153"/>
        <w:tab w:val="right" w:pos="8306"/>
      </w:tabs>
      <w:jc w:val="center"/>
    </w:pPr>
    <w:rPr>
      <w:sz w:val="18"/>
      <w:szCs w:val="18"/>
    </w:rPr>
  </w:style>
  <w:style w:type="paragraph" w:styleId="a5">
    <w:name w:val="Normal (Web)"/>
    <w:basedOn w:val="a"/>
    <w:qFormat/>
    <w:rsid w:val="00D21AF8"/>
    <w:pPr>
      <w:spacing w:before="100" w:beforeAutospacing="1" w:after="100" w:afterAutospacing="1"/>
    </w:pPr>
    <w:rPr>
      <w:rFonts w:ascii="宋体" w:hAnsi="宋体"/>
      <w:kern w:val="0"/>
      <w:sz w:val="24"/>
      <w:szCs w:val="24"/>
    </w:rPr>
  </w:style>
  <w:style w:type="character" w:styleId="a6">
    <w:name w:val="page number"/>
    <w:basedOn w:val="a0"/>
    <w:uiPriority w:val="99"/>
    <w:unhideWhenUsed/>
    <w:qFormat/>
    <w:rsid w:val="00D21AF8"/>
  </w:style>
  <w:style w:type="character" w:customStyle="1" w:styleId="Char">
    <w:name w:val="页脚 Char"/>
    <w:link w:val="a3"/>
    <w:uiPriority w:val="99"/>
    <w:qFormat/>
    <w:locked/>
    <w:rsid w:val="00D21AF8"/>
    <w:rPr>
      <w:rFonts w:ascii="Times New Roman" w:hAnsi="Times New Roman" w:cs="Times New Roman"/>
      <w:sz w:val="18"/>
      <w:szCs w:val="18"/>
    </w:rPr>
  </w:style>
  <w:style w:type="character" w:customStyle="1" w:styleId="Char1">
    <w:name w:val="页脚 Char1"/>
    <w:basedOn w:val="a0"/>
    <w:uiPriority w:val="99"/>
    <w:semiHidden/>
    <w:qFormat/>
    <w:rsid w:val="00D21AF8"/>
    <w:rPr>
      <w:rFonts w:ascii="Times New Roman" w:eastAsia="宋体" w:hAnsi="Times New Roman" w:cs="Times New Roman"/>
      <w:sz w:val="18"/>
      <w:szCs w:val="18"/>
    </w:rPr>
  </w:style>
  <w:style w:type="paragraph" w:customStyle="1" w:styleId="biaogeleft">
    <w:name w:val="biaoge_left"/>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2">
    <w:name w:val="zhangjie_p2"/>
    <w:basedOn w:val="a"/>
    <w:qFormat/>
    <w:rsid w:val="00D21AF8"/>
    <w:pPr>
      <w:autoSpaceDE w:val="0"/>
      <w:autoSpaceDN w:val="0"/>
      <w:adjustRightInd w:val="0"/>
      <w:spacing w:before="24" w:line="288" w:lineRule="auto"/>
      <w:ind w:left="15"/>
    </w:pPr>
    <w:rPr>
      <w:rFonts w:ascii="宋体" w:hAnsi="宋体" w:cs="宋体"/>
      <w:kern w:val="0"/>
      <w:sz w:val="24"/>
      <w:szCs w:val="24"/>
    </w:rPr>
  </w:style>
  <w:style w:type="paragraph" w:customStyle="1" w:styleId="biaogecenter">
    <w:name w:val="biaoge_center"/>
    <w:basedOn w:val="a"/>
    <w:qFormat/>
    <w:rsid w:val="00D21AF8"/>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D21AF8"/>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D21AF8"/>
    <w:pPr>
      <w:jc w:val="both"/>
    </w:pPr>
    <w:rPr>
      <w:rFonts w:ascii="Times New Roman" w:eastAsia="宋体" w:hAnsi="Times New Roman" w:cs="Times New Roman"/>
      <w:kern w:val="2"/>
      <w:sz w:val="21"/>
      <w:szCs w:val="21"/>
    </w:rPr>
  </w:style>
  <w:style w:type="paragraph" w:customStyle="1" w:styleId="biaogeright">
    <w:name w:val="biaoge_right"/>
    <w:basedOn w:val="a"/>
    <w:qFormat/>
    <w:rsid w:val="00D21AF8"/>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D21AF8"/>
    <w:pPr>
      <w:autoSpaceDE w:val="0"/>
      <w:autoSpaceDN w:val="0"/>
      <w:adjustRightInd w:val="0"/>
      <w:spacing w:before="29" w:line="288" w:lineRule="auto"/>
      <w:ind w:left="15"/>
    </w:pPr>
    <w:rPr>
      <w:rFonts w:ascii="宋体" w:hAnsi="宋体" w:cs="宋体"/>
      <w:kern w:val="0"/>
      <w:sz w:val="24"/>
      <w:szCs w:val="24"/>
    </w:rPr>
  </w:style>
  <w:style w:type="paragraph" w:customStyle="1" w:styleId="zhangjiep">
    <w:name w:val="zhangjie_p"/>
    <w:basedOn w:val="a"/>
    <w:qFormat/>
    <w:rsid w:val="00D21AF8"/>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Default">
    <w:name w:val="Default"/>
    <w:qFormat/>
    <w:rsid w:val="00D21AF8"/>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D21AF8"/>
    <w:rPr>
      <w:rFonts w:ascii="Times New Roman" w:eastAsia="宋体" w:hAnsi="Times New Roman" w:cs="Times New Roman"/>
      <w:sz w:val="18"/>
      <w:szCs w:val="18"/>
    </w:rPr>
  </w:style>
  <w:style w:type="paragraph" w:customStyle="1" w:styleId="10">
    <w:name w:val="列出段落1"/>
    <w:basedOn w:val="a"/>
    <w:uiPriority w:val="99"/>
    <w:qFormat/>
    <w:rsid w:val="00D2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13945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346</Words>
  <Characters>1974</Characters>
  <Application>Microsoft Office Word</Application>
  <DocSecurity>0</DocSecurity>
  <Lines>16</Lines>
  <Paragraphs>4</Paragraphs>
  <ScaleCrop>false</ScaleCrop>
  <Company>cc</Company>
  <LinksUpToDate>false</LinksUpToDate>
  <CharactersWithSpaces>2316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2023-06-06T07:40:00Z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DA7D07A671F94F61B430BF557E8AE20F</vt:lpwstr>
  </property>
</Properties>
</file>