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南银理财珠联璧合理财管理计划1号公募人民币理财产品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南银理财珠联璧合理财管理计划1号公募人民币理财产品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Z7003220000003（投资者可依据该编码在中国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开放式净值型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2014年08月20日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5,760,521,141.50份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中粮信托有限责任公司,鑫元基金管理有限公司,鑫沅资产管理有限公司,平安资产管理有限责任公司,交银施罗德基金管理有限公司,太平洋资产管理有限责任公司,江苏省国际信托有限责任公司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Z10001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6,218,369,077.60</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1.0794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1.4138</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四季度，债券市场呈现横盘震荡、中枢下移的特征。国庆假期之后，稳增长政策发力预期显著抬升，特殊再融资债密集发行和1万亿国债增发导致债市供需格局失衡，债市调整；于此同时，“防空转”叠加人民币汇率贬值压力，资金面明显收紧，短端利率易上难下，利率曲线熊平。临近年末，随着经济工作会议落地，稳增长政策预期被市场逐步消化；银行存款利率下调，宽货币信号及预期走强；跨年资金价格回落，机构配置力量较强，债市上涨。</w:t>
        <w:br w:type="textWrapping" w:clear="all"/>
      </w:r>
      <w:r>
        <w:rPr>
          <w:rFonts w:ascii="方正仿宋简体" w:eastAsia="方正仿宋简体" w:hint="eastAsia"/>
          <w:sz w:val="24"/>
          <w:szCs w:val="24"/>
        </w:rPr>
        <w:t>  下一阶段，基本面和资金面仍然是债券市场的核心驱动因素。目前我国经济回升向好、动力增强，高质量发展扎实推进，但仍面临有效需求不足、社会预期偏弱等挑战，基本面对债券市场有支撑；稳增长基调下，货币政策导向积极稳健，债券市场风险可控。</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截至报告期末，本产品Z10001份额净值为1.0794元。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781,334,377.88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12.56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305,369,318.10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4.91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230301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23进出01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280,202,720.00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4.51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ZJQTT202204260021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江苏信托南银1号集合资金信托计划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265,057,129.34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4.26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XJCKX202306070001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建设银行深圳分行活期存款</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262,025,688.86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4.21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ZJQTT202111100001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鑫沅资产金梅花631号集合资产管理计划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242,227,433.36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太平洋稳健理财三号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176,800,515.75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170,014,473.87</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2.73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ZJQTT202210120003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平安资产如意52号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100,812,240.28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197787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21嘉高新</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100,167,000.00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1.61</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01640124840000194</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南京银行珠联璧合理财计划</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产品与关联方作为交易对手开展的投融资业务交易金额263,200,000.00元。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产品投资关联方作为管理人的资产管理产品交易金额10,000,000.00元。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支付关联方托管费343,405.18</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3,833,022.99</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