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南银理财珠联璧合行稳一年定开1M公募人民币理财产品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894"/>
        <w:gridCol w:w="6065"/>
      </w:tblGrid>
      <w:tr w:rsidR="001421A0" w:rsidTr="005B2789">
        <w:trPr>
          <w:trHeight w:val="663"/>
          <w:jc w:val="center"/>
        </w:trPr>
        <w:tc>
          <w:tcPr>
            <w:tcW w:w="2894"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南银理财珠联璧合行稳一年定开1M公募人民币理财产品</w:t>
            </w:r>
          </w:p>
        </w:tc>
      </w:tr>
      <w:tr w:rsidR="001421A0" w:rsidTr="005B2789">
        <w:trPr>
          <w:trHeight w:val="1207"/>
          <w:jc w:val="center"/>
        </w:trPr>
        <w:tc>
          <w:tcPr>
            <w:tcW w:w="2894"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Z7003221000032（投资者可依据该编码在中国理财网www.chinawealth.com.cn查询理财产品相关信息）</w:t>
            </w:r>
          </w:p>
        </w:tc>
      </w:tr>
      <w:tr w:rsidR="001421A0" w:rsidTr="005B2789">
        <w:trPr>
          <w:trHeight w:val="663"/>
          <w:jc w:val="center"/>
        </w:trPr>
        <w:tc>
          <w:tcPr>
            <w:tcW w:w="2894"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开放式净值型</w:t>
            </w:r>
          </w:p>
        </w:tc>
      </w:tr>
      <w:tr w:rsidR="001421A0" w:rsidTr="005B2789">
        <w:trPr>
          <w:trHeight w:val="663"/>
          <w:jc w:val="center"/>
        </w:trPr>
        <w:tc>
          <w:tcPr>
            <w:tcW w:w="2894"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2019年01月09日</w:t>
            </w:r>
          </w:p>
        </w:tc>
      </w:tr>
      <w:tr w:rsidR="001421A0" w:rsidTr="005B2789">
        <w:trPr>
          <w:trHeight w:val="663"/>
          <w:jc w:val="center"/>
        </w:trPr>
        <w:tc>
          <w:tcPr>
            <w:tcW w:w="2894"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1,417,710,536.35份</w:t>
            </w:r>
          </w:p>
        </w:tc>
      </w:tr>
      <w:tr w:rsidR="001421A0" w:rsidTr="005B2789">
        <w:trPr>
          <w:trHeight w:val="639"/>
          <w:jc w:val="center"/>
        </w:trPr>
        <w:tc>
          <w:tcPr>
            <w:tcW w:w="2894"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中粮信托有限责任公司,南方基金管理股份有限公司,江苏省国际信托有限责任公司</w:t>
            </w:r>
          </w:p>
        </w:tc>
      </w:tr>
      <w:tr w:rsidR="001421A0" w:rsidTr="005B2789">
        <w:trPr>
          <w:trHeight w:val="663"/>
          <w:jc w:val="center"/>
        </w:trPr>
        <w:tc>
          <w:tcPr>
            <w:tcW w:w="2894"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南银理财有限责任公司</w:t>
            </w:r>
          </w:p>
        </w:tc>
      </w:tr>
      <w:tr w:rsidR="001421A0" w:rsidTr="005B2789">
        <w:trPr>
          <w:trHeight w:val="663"/>
          <w:jc w:val="center"/>
        </w:trPr>
        <w:tc>
          <w:tcPr>
            <w:tcW w:w="2894"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15E0A">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15E0A">
            <w:pPr>
              <w:spacing w:beforeLines="20" w:afterLines="20"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15E0A">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15E0A">
            <w:pPr>
              <w:spacing w:beforeLines="20" w:afterLines="20" w:line="360" w:lineRule="auto"/>
              <w:jc w:val="center"/>
              <w:rPr>
                <w:rFonts w:ascii="方正仿宋简体" w:eastAsia="方正仿宋简体"/>
                <w:sz w:val="24"/>
                <w:szCs w:val="24"/>
              </w:rPr>
            </w:pPr>
          </w:p>
        </w:tc>
        <w:tc>
          <w:tcPr>
            <w:tcW w:w="2705" w:type="dxa"/>
            <w:vAlign w:val="center"/>
          </w:tcPr>
          <w:p w:rsidR="001421A0" w:rsidRPr="0063323A" w:rsidRDefault="00B1693A" w:rsidP="00715E0A">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1.期末产品最后一个市场交易日资产净值</w:t>
            </w:r>
          </w:p>
        </w:tc>
        <w:tc>
          <w:tcPr>
            <w:tcW w:w="2030" w:type="dxa"/>
            <w:vAlign w:val="center"/>
          </w:tcPr>
          <w:p w:rsidR="001421A0" w:rsidRPr="0063323A" w:rsidRDefault="00B1693A" w:rsidP="00715E0A">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15E0A">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rsidR="00CA5153">
        <w:trPr>
          <w:trHeight w:val="557"/>
          <w:jc w:val="center"/>
        </w:trPr>
        <w:tc>
          <w:tcPr>
            <w:tcW w:w="2296" w:type="dxa"/>
            <w:vAlign w:val="center"/>
          </w:tcPr>
          <w:p w:rsidR="00CA5153" w:rsidRDefault="00CC251C" w:rsidP="00715E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Z10020</w:t>
            </w:r>
          </w:p>
        </w:tc>
        <w:tc>
          <w:tcPr>
            <w:tcW w:w="2705" w:type="dxa"/>
            <w:vAlign w:val="center"/>
          </w:tcPr>
          <w:p w:rsidR="00CA5153" w:rsidRDefault="00CC251C" w:rsidP="00715E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1,495,166,657.69</w:t>
            </w:r>
          </w:p>
        </w:tc>
        <w:tc>
          <w:tcPr>
            <w:tcW w:w="2030" w:type="dxa"/>
            <w:vAlign w:val="center"/>
          </w:tcPr>
          <w:p w:rsidR="00CA5153" w:rsidRDefault="00CC251C" w:rsidP="00715E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1.0546</w:t>
            </w:r>
          </w:p>
        </w:tc>
        <w:tc>
          <w:tcPr>
            <w:tcW w:w="2036" w:type="dxa"/>
            <w:vAlign w:val="center"/>
          </w:tcPr>
          <w:p w:rsidR="00CA5153" w:rsidRDefault="00CC251C" w:rsidP="00715E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1.2761</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4485"/>
        <w:gridCol w:w="2095"/>
        <w:gridCol w:w="2322"/>
      </w:tblGrid>
      <w:tr w:rsidR="001421A0" w:rsidTr="00B1693A">
        <w:trPr>
          <w:jc w:val="center"/>
        </w:trPr>
        <w:tc>
          <w:tcPr>
            <w:tcW w:w="4537" w:type="dxa"/>
            <w:vAlign w:val="center"/>
          </w:tcPr>
          <w:p w:rsidR="001421A0" w:rsidRPr="0063323A" w:rsidRDefault="00B1693A" w:rsidP="00715E0A">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15E0A">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15E0A">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rsidR="00CA5153">
        <w:trPr>
          <w:jc w:val="center"/>
        </w:trPr>
        <w:tc>
          <w:tcPr>
            <w:tcW w:w="4537" w:type="dxa"/>
            <w:vAlign w:val="center"/>
          </w:tcPr>
          <w:p w:rsidR="00CA5153" w:rsidRDefault="00CC251C" w:rsidP="00715E0A">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2023</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10</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- 2023</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12</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118" w:type="dxa"/>
            <w:vAlign w:val="center"/>
          </w:tcPr>
          <w:p w:rsidR="00CA5153" w:rsidRDefault="00CC251C" w:rsidP="00715E0A">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Z10020</w:t>
            </w:r>
          </w:p>
        </w:tc>
        <w:tc>
          <w:tcPr>
            <w:tcW w:w="2347" w:type="dxa"/>
            <w:vAlign w:val="center"/>
          </w:tcPr>
          <w:p w:rsidR="00CA5153" w:rsidRDefault="00CC251C" w:rsidP="00715E0A">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hint="eastAsia"/>
          <w:sz w:val="24"/>
          <w:szCs w:val="24"/>
        </w:rPr>
        <w:t>  行稳一年定开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及时做好市场走势的跟踪与研判，挖掘潜在投资机会，动态调整组合的久期和杠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lastRenderedPageBreak/>
        <w:t>  </w:t>
      </w:r>
      <w:r w:rsidRPr="0063323A">
        <w:rPr>
          <w:rFonts w:ascii="方正仿宋简体" w:eastAsia="方正仿宋简体"/>
          <w:sz w:val="24"/>
          <w:szCs w:val="24"/>
        </w:rPr>
        <w:t>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715E0A" w:rsidRDefault="00715E0A" w:rsidP="00715E0A">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截至报告期末，本产品扣除暂估业绩报酬后份额净值为1.0508元，资产净值为</w:t>
      </w:r>
      <w:r w:rsidRPr="00715E0A">
        <w:rPr>
          <w:rFonts w:ascii="方正仿宋简体" w:eastAsia="方正仿宋简体"/>
          <w:sz w:val="24"/>
          <w:szCs w:val="24"/>
        </w:rPr>
        <w:t>1</w:t>
      </w:r>
      <w:r>
        <w:rPr>
          <w:rFonts w:ascii="方正仿宋简体" w:eastAsia="方正仿宋简体" w:hint="eastAsia"/>
          <w:sz w:val="24"/>
          <w:szCs w:val="24"/>
        </w:rPr>
        <w:t>,</w:t>
      </w:r>
      <w:r w:rsidRPr="00715E0A">
        <w:rPr>
          <w:rFonts w:ascii="方正仿宋简体" w:eastAsia="方正仿宋简体"/>
          <w:sz w:val="24"/>
          <w:szCs w:val="24"/>
        </w:rPr>
        <w:t>489</w:t>
      </w:r>
      <w:r>
        <w:rPr>
          <w:rFonts w:ascii="方正仿宋简体" w:eastAsia="方正仿宋简体" w:hint="eastAsia"/>
          <w:sz w:val="24"/>
          <w:szCs w:val="24"/>
        </w:rPr>
        <w:t>,</w:t>
      </w:r>
      <w:r w:rsidRPr="00715E0A">
        <w:rPr>
          <w:rFonts w:ascii="方正仿宋简体" w:eastAsia="方正仿宋简体"/>
          <w:sz w:val="24"/>
          <w:szCs w:val="24"/>
        </w:rPr>
        <w:t>805</w:t>
      </w:r>
      <w:r>
        <w:rPr>
          <w:rFonts w:ascii="方正仿宋简体" w:eastAsia="方正仿宋简体" w:hint="eastAsia"/>
          <w:sz w:val="24"/>
          <w:szCs w:val="24"/>
        </w:rPr>
        <w:t>,</w:t>
      </w:r>
      <w:r w:rsidRPr="00715E0A">
        <w:rPr>
          <w:rFonts w:ascii="方正仿宋简体" w:eastAsia="方正仿宋简体"/>
          <w:sz w:val="24"/>
          <w:szCs w:val="24"/>
        </w:rPr>
        <w:t>266.51</w:t>
      </w:r>
      <w:r>
        <w:rPr>
          <w:rFonts w:ascii="方正仿宋简体" w:eastAsia="方正仿宋简体" w:hint="eastAsia"/>
          <w:sz w:val="24"/>
          <w:szCs w:val="24"/>
        </w:rPr>
        <w:t>元。</w:t>
      </w:r>
    </w:p>
    <w:p w:rsidR="001421A0" w:rsidRPr="00715E0A"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45"/>
        <w:gridCol w:w="1859"/>
        <w:gridCol w:w="3002"/>
        <w:gridCol w:w="3289"/>
      </w:tblGrid>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100.00%</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1</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032100639</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缙云资产</w:t>
            </w:r>
            <w:r>
              <w:rPr>
                <w:rFonts w:ascii="方正仿宋简体" w:eastAsia="方正仿宋简体" w:hAnsi="方正仿宋简体" w:cs="方正仿宋简体"/>
                <w:sz w:val="24"/>
              </w:rPr>
              <w:t>PPN001</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100,969,300.00</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6.75</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162275</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安国投</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91,970,460.00</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6.15</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ZJQTT202308180021</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中粮信托鼎兴</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号集合资金信托计划</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90,010,135.04</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6.02</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032100495</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高淳经开</w:t>
            </w:r>
            <w:r>
              <w:rPr>
                <w:rFonts w:ascii="方正仿宋简体" w:eastAsia="方正仿宋简体" w:hAnsi="方正仿宋简体" w:cs="方正仿宋简体"/>
                <w:sz w:val="24"/>
              </w:rPr>
              <w:t>PPN001</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70,517,090.00</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4.72</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ZJQTT202301090001</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江苏信托鑫盈</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50,577,726.91</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3.38</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196233</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镇风</w:t>
            </w:r>
            <w:r>
              <w:rPr>
                <w:rFonts w:ascii="方正仿宋简体" w:eastAsia="方正仿宋简体" w:hAnsi="方正仿宋简体" w:cs="方正仿宋简体"/>
                <w:sz w:val="24"/>
              </w:rPr>
              <w:t>01</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50,117,950.00</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3.35</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032280103</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镇江交通</w:t>
            </w:r>
            <w:r>
              <w:rPr>
                <w:rFonts w:ascii="方正仿宋简体" w:eastAsia="方正仿宋简体" w:hAnsi="方正仿宋简体" w:cs="方正仿宋简体"/>
                <w:sz w:val="24"/>
              </w:rPr>
              <w:t>PPN001</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50,068,750.00</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3.35</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ZJQTT202103220021</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南方基金恒远尊享</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号集合资产管理计划</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45,807,475.28</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3.06</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032280276</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清江浦</w:t>
            </w:r>
            <w:r>
              <w:rPr>
                <w:rFonts w:ascii="方正仿宋简体" w:eastAsia="方正仿宋简体" w:hAnsi="方正仿宋简体" w:cs="方正仿宋简体"/>
                <w:sz w:val="24"/>
              </w:rPr>
              <w:t>PPN001</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45,198,675.00</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3.02</w:t>
            </w:r>
          </w:p>
        </w:tc>
      </w:tr>
      <w:tr w:rsidR="00CA5153">
        <w:trPr>
          <w:trHeight w:val="583"/>
          <w:jc w:val="center"/>
        </w:trPr>
        <w:tc>
          <w:tcPr>
            <w:tcW w:w="751"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5" w:type="dxa"/>
            <w:shd w:val="clear" w:color="auto" w:fill="auto"/>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032100453</w:t>
            </w:r>
          </w:p>
        </w:tc>
        <w:tc>
          <w:tcPr>
            <w:tcW w:w="2720"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盐城高新</w:t>
            </w:r>
            <w:r>
              <w:rPr>
                <w:rFonts w:ascii="方正仿宋简体" w:eastAsia="方正仿宋简体" w:hAnsi="方正仿宋简体" w:cs="方正仿宋简体"/>
                <w:sz w:val="24"/>
              </w:rPr>
              <w:t>PPN001</w:t>
            </w:r>
          </w:p>
        </w:tc>
        <w:tc>
          <w:tcPr>
            <w:tcW w:w="2058"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40,348,400.00</w:t>
            </w:r>
          </w:p>
        </w:tc>
        <w:tc>
          <w:tcPr>
            <w:tcW w:w="1812" w:type="dxa"/>
            <w:shd w:val="clear" w:color="000000" w:fill="FFFFFF"/>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2.70</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rsidR="00CA5153">
        <w:trPr>
          <w:trHeight w:val="571"/>
          <w:jc w:val="center"/>
        </w:trPr>
        <w:tc>
          <w:tcPr>
            <w:tcW w:w="877"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017"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15E0A">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rsidR="00CA5153">
        <w:trPr>
          <w:trHeight w:val="584"/>
          <w:jc w:val="center"/>
        </w:trPr>
        <w:tc>
          <w:tcPr>
            <w:tcW w:w="696"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0120060000000226</w:t>
            </w:r>
          </w:p>
        </w:tc>
        <w:tc>
          <w:tcPr>
            <w:tcW w:w="1983"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南京银行行稳一年定开</w:t>
            </w:r>
            <w:r>
              <w:rPr>
                <w:rFonts w:ascii="方正仿宋简体" w:eastAsia="方正仿宋简体" w:hAnsi="方正仿宋简体" w:cs="方正仿宋简体"/>
                <w:sz w:val="24"/>
              </w:rPr>
              <w:t>1M</w:t>
            </w:r>
          </w:p>
        </w:tc>
        <w:tc>
          <w:tcPr>
            <w:tcW w:w="1988" w:type="dxa"/>
            <w:vAlign w:val="center"/>
          </w:tcPr>
          <w:p w:rsidR="00CA5153" w:rsidRDefault="00CC251C" w:rsidP="00715E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r w:rsidRPr="0063323A">
        <w:rPr>
          <w:rFonts w:ascii="方正仿宋简体" w:eastAsia="方正仿宋简体" w:hint="eastAsia"/>
          <w:sz w:val="24"/>
          <w:szCs w:val="24"/>
        </w:rPr>
        <w:t>方发行的证券、关联方作为融资人的非标准化债权类资产业务交易金额0.00元。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产品投资于关联方承销的证券交易金额0.00元。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w:t>
      </w:r>
      <w:r w:rsidR="00B1693A" w:rsidRPr="0063323A">
        <w:rPr>
          <w:rFonts w:ascii="方正仿宋简体" w:eastAsia="方正仿宋简体" w:hint="eastAsia"/>
          <w:sz w:val="24"/>
          <w:szCs w:val="24"/>
        </w:rPr>
        <w:t>支付关联方托管费70,691.53</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支付关联方代销费701,537.13元。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51C" w:rsidRDefault="00CC251C">
      <w:pPr>
        <w:spacing w:after="72"/>
      </w:pPr>
      <w:r>
        <w:separator/>
      </w:r>
    </w:p>
  </w:endnote>
  <w:endnote w:type="continuationSeparator" w:id="1">
    <w:p w:rsidR="00CC251C" w:rsidRDefault="00CC251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CA5153">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51C" w:rsidRDefault="00CC251C">
      <w:pPr>
        <w:spacing w:after="72"/>
      </w:pPr>
      <w:r>
        <w:separator/>
      </w:r>
    </w:p>
  </w:footnote>
  <w:footnote w:type="continuationSeparator" w:id="1">
    <w:p w:rsidR="00CC251C" w:rsidRDefault="00CC251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5E0A"/>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A5153"/>
    <w:rsid w:val="00CC251C"/>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349</Words>
  <Characters>1992</Characters>
  <Application>Microsoft Office Word</Application>
  <DocSecurity>0</DocSecurity>
  <Lines>16</Lines>
  <Paragraphs>4</Paragraphs>
  <ScaleCrop>false</ScaleCrop>
  <Company>cc</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2024-01-09T14:09:00Z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