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Z7003223000061（投资者可依据该编码在中国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2023年04月04日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980,071,485.00份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164,115,033.77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340,709,089.23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509,738,945.78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截至报告期末，本产品Y30110份额净值为1.0341元，Y31110份额净值为1.0349元，Y32110份额净值为1.0356元。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318,140,788.18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206,642,212.74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23桐庐建设01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桐庐投资建设发展集团有限公司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23桐庐建设01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0120060000001117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183,920.14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