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南银理财珠联璧合鑫逸稳一年111期封闭式公募人民币理财产品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南银理财珠联璧合鑫逸稳一年111期封闭式公募人民币理财产品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Z7003223000074（投资者可依据该编码在中国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2023年04月12日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876,419,252.00份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Y30111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193,485,204.01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1.0322</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Y31111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252,368,531.51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1.0329</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Y32111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449,731,202.85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Y33111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9,932,967.06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1.0344</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截至报告期末，本产品Y30111份额净值为1.0322元，Y31111份额净值为1.0329元，Y32111份额净值为1.0337元，Y33111份额净值为1.0344元。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ZJQTT202202230001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鑫元基金-鑫安利得59号集合资产管理计划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241,144,269.28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26.63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227,060,886.06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25.08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23881022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23陶都城发01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128,000,000.00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14.14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23881056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23泗阳民康02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11.04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23881083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23江苏新海连01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11.04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23881108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23绍兴城改02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92,000,000.00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江苏新海连发展集团有限公司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23江苏新海连01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江苏陶都城市发展投资有限公司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23陶都城发01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绍兴市城中村改造建设投资有限公司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23绍兴城改02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泗阳县民康农村经济发展有限公司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23泗阳民康02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116</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0120030000001133</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南银理财鑫逸稳一年111期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139,092.14</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