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南银理财珠联璧合鑫逸稳两年11期（低波款）封闭式公募人民币理财产品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南银理财珠联璧合鑫逸稳两年11期（低波款）封闭式公募人民币理财产品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774,219,806.00份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13,765,420.66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291,715,667.86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504,323,329.79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截至报告期末，本产品Y60011份额净值为1.0430元，Y61011份额净值为1.0448元，Y62011份额净值为1.0466元。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248,880,000.00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172,985,211.83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盐城市盐都交通建设发展有限公司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0120090000001050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