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南银理财珠联璧合鑫逸稳两年12期（低波款）封闭式公募人民币理财产品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南银理财珠联璧合鑫逸稳两年12期（低波款）封闭式公募人民币理财产品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Z7003223000034（投资者可依据该编码在中国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2023年03月01日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425,725,477.00份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国联基金管理有限公司,中国对外经济贸易信托有限公司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19,660,465.66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1.0429</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36,976,600.82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1.0446</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1.0446</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388,714,249.71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1.0463</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截至报告期末，本产品Y60012份额净值为1.0429元，Y61012份额净值为1.0446元，Y62012份额净值为1.0463元。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137,228,892.99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30.81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23880527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23太湖湾08</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24.70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97,478,000.00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21.89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23880523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23镇江文旅03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83,000,000.00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18.64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23880572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23江苏洪泽湖01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1.57</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江苏洪泽湖建设投资集团有限公司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23江苏洪泽湖01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434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镇江文化旅游产业集团有限责任公司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23镇江文旅03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432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江苏武进太湖湾旅游发展有限公司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23太湖湾08</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432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0120000000001064</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南银理财鑫逸稳两年12期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0.00</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