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南银理财珠联璧合鑫逸稳两年13期封闭式公募人民币理财产品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南银理财珠联璧合鑫逸稳两年13期封闭式公募人民币理财产品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Z7003223000046（投资者可依据该编码在中国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2023年03月08日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524,053,884.00份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国联基金管理有限公司,中国对外经济贸易信托有限公司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37,772,340.68</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1.0411</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33,581,230.26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1.0420</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266,154,825.39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1.0428</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Y63013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209,088,257.32</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1.0437</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鑫逸稳两年期封闭式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久期维持中性水平，及时做好市场走势的跟踪与研判，挖掘潜在投资机会。</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截至报告期末，本产品Y60013份额净值为1.0411元，Y61013份额净值为1.0420元，Y62013份额净值为1.0428元，Y63013份额净值为1.0437元。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169,910,590.43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31.09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23880572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23江苏洪泽湖01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27.44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113,953,937.24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20.85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23880634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23兴田建设01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18.30</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沛县兴田建设投资发展集团有限公司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23兴田建设01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442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江苏洪泽湖建设投资集团有限公司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23江苏洪泽湖01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434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0120090000001088</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南银理财鑫逸稳两年13期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89,262.14</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