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Z7003223000069（投资者可依据该编码在中国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2023年04月12日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223,744,184.00份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57,529,798.57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67,746,288.92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106,365,332.25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截至报告期末，本产品Y60018份额净值为1.0343元，Y61018份额净值为1.0351元，Y62018份额净值为1.0358元。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43.17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72,353,551.40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54,150,694.83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镇江城市建设产业集团有限公司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0120040000001137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37,970.17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