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南银理财珠联璧合鑫逸稳两年32期封闭式公募人民币理财产品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4</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南银理财珠联璧合鑫逸稳两年32期封闭式公募人民币理财产品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Z7003223000141（投资者可依据该编码在中国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2023年07月26日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442,621,156.00份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西部信托有限公司,国联基金管理有限公司,广东粤财信托有限公司,中国对外经济贸易信托有限公司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报告期（2023年10月01日 - 2023年12月31日）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Y60032</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115,157,377.78</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1.0170</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1.0170</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Y61032</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170,089,595.84</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1.0174</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1.0174</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Y62032</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165,133,778.41</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1.0179</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1.0179</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鑫逸稳两年期封闭式产品，今年四季度产品操作稳健略转防守，四季度债券市场震荡偏弱，尤其是短端调整较多，曲线极度平坦，债市赚钱效应弱于上半年。为了控制产品回撤，四季度产品运作整体稳健，除了于市场波动中把握债券估值性价比较高的时点，积极寻找个券配置机会，提升组合静态，整体组合运作保持了较低的杠杆水平，且在前期低点对持仓中部分绝对收益较低的个券进行了减持。市场机会把握方面，主要关注并参与了银行资本补充工具的投资机会，获得了不错的资本利得增厚。下一阶段，产品将继续围绕稳健回报的收益目标进行操作，审慎精选票息品种，久期维持中性水平，及时做好市场走势的跟踪与研判，挖掘潜在投资机会。</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今年四季度以来，资金环境整体维持平稳，但波动性较前期有所放大，产品保留了合理的流动性资产仓位以应对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截至报告期末，本产品Y60032份额净值为1.0170元，Y61032份额净值为1.0174元，Y62032份额净值为1.0179元。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141,720,938.35</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31.47</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XTDKX202309150021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粤财信托·永禄15号集合资金信托计划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134,449,700.00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29.85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93,044,891.19</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20.66</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XTDKX202311010001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西部信托·瑞彭1号集合资金信托计划（A类）</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80,488,000.00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17.87</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浙江网商银行股份有限公司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粤财信托·永禄15号集合资金信托计划</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567</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徐州高新技术产业开发区国有资产经营有限公司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西部信托·瑞彭1号集合资金信托计划（A类）</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589</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0101030000000615</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南京银行南京分行南银理财鑫逸稳两年32期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53,659.86</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2023年12月31日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