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南银理财珠联璧合鑫逸稳两年36期封闭式公募人民币理财产品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南银理财珠联璧合鑫逸稳两年36期封闭式公募人民币理财产品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Z7003223000158（投资者可依据该编码在中国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2023年08月23日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258,800,432.00份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西部信托有限公司,中信信托有限责任公司,国联基金管理有限公司,广东粤财信托有限公司,中国对外经济贸易信托有限公司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Y60036</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75,833,608.67</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1.0120</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1.0120</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Y61036</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99,146,315.52</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1.0124</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1.0124</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Y62036</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87,038,614.20</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1.0127</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1.0127</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鑫逸稳两年期封闭式产品，今年四季度产品操作稳健略转防守，四季度债券市场震荡偏弱，尤其是短端调整较多，曲线极度平坦，债市赚钱效应弱于上半年。为了控制产品回撤，四季度产品运作整体稳健，除了于市场波动中把握债券估值性价比较高的时点，积极寻找个券配置机会，提升组合静态，整体组合运作保持了较低的杠杆水平，且在前期低点对持仓中部分绝对收益较低的个券进行了减持。市场机会把握方面，主要关注并参与了银行资本补充工具的投资机会，获得了不错的资本利得增厚。下一阶段，产品将继续围绕稳健回报的收益目标进行操作，审慎精选票息品种，久期维持中性水平，及时做好市场走势的跟踪与研判，挖掘潜在投资机会。</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今年四季度以来，资金环境整体维持平稳，但波动性较前期有所放大，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截至报告期末，本产品Y60036份额净值为1.0120元，Y61036份额净值为1.0124元，Y62036份额净值为1.0127元。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XTDKX202310240001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中信信托·兴邦55号固定收益类信托计划（第1期）</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71,617,700.00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27.33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69,801,393.48</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26.64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65,733,908.23</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25.09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XTDKX202308250022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粤财信托·永禄10号集合资金信托计划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30,423,000.00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11.61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XTDKX202311010022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西部信托·瑞彭1号集合资金信托计划（B类）</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23,140,300.00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8.83</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浙江网商银行股份有限公司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粤财信托·永禄10号集合资金信托计划</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608</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徐州高新技术产业开发区国有资产经营有限公司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西部信托·瑞彭1号集合资金信托计划（B类）</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603</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泰州国控投资集团有限公司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中信信托·兴邦55号固定收益类信托计划（第1期）</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613</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0101040000000667</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南京银行南京分行南银理财鑫逸稳两年36期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16,359.47</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