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南银理财珠联璧合鑫逸稳两年39期封闭式公募人民币理财产品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南银理财珠联璧合鑫逸稳两年39期封闭式公募人民币理财产品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Z7003223000165（投资者可依据该编码在中国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2023年09月13日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230,644,291.00份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中信信托有限责任公司,中诚信托有限责任公司,国联基金管理有限公司,中国对外经济贸易信托有限公司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Y60039</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49,581,968.53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1.0087</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1.0087</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Y61039</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87,223,963.28</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1.0090</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1.0090</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Y62039</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95,931,866.24</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1.0093</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1.0093</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鑫逸稳两年期封闭式产品，今年四季度产品操作稳健略转防守，四季度债券市场震荡偏弱，尤其是短端调整较多，曲线极度平坦，债市赚钱效应弱于上半年。为了控制产品回撤，四季度产品运作整体稳健，除了于市场波动中把握债券估值性价比较高的时点，积极寻找个券配置机会，提升组合静态，整体组合运作保持了较低的杠杆水平，且在前期低点对持仓中部分绝对收益较低的个券进行了减持。市场机会把握方面，主要关注并参与了银行资本补充工具的投资机会，获得了不错的资本利得增厚。下一阶段，产品将继续围绕稳健回报的收益目标进行操作，审慎精选票息品种，久期维持中性水平，及时做好市场走势的跟踪与研判，挖掘潜在投资机会。</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今年四季度以来，资金环境整体维持平稳，但波动性较前期有所放大，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截至报告期末，本产品Y60039份额净值为1.0087元，Y61039份额净值为1.0090元，Y62039份额净值为1.0093元。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XTDKX202310170001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中信信托·兴邦58号固定收益类信托计划-第【1】期信托单位</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99,000,000.00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42.54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70,979,690.80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30.50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50,272,737.45</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21.60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XTDKX202311230001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中诚信托-瑞成18号集合资金信托计划（第1期）</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9,997,175.70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4.30</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重庆市微恒科技有限公司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中诚信托-瑞成18号集合资金信托计划（第1期）</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510</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淮安市清江浦城投控股集团有限公司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中信信托·兴邦58号固定收益类信托计划-第【1】期信托单位</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628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0101070000000680</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南京银行南京分行南银理财鑫逸稳两年39期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6,284.23</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