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南银理财珠联璧合安稳1912一年定开公募人民币理财产品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2</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南银理财珠联璧合安稳1912一年定开公募人民币理财产品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Z7003221000019（投资者可依据该编码在中国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2019年12月05日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488,906,648.50份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报告期（2023年04月01日 - 2023年06月30日）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Z30008</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504,401,282.96</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1.0316</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1.1673</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2023年04月01日 - 2023年06月30日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Z30008</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4.81%</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期间公布的经济数据和高频数据显示经济转弱，制造业PMI回落至荣枯线以下，30城房地产销售销售增速再度走弱，基本面偏弱的现实基本得到确认，二季度债市收益率基本处于持续下行的状态，10年期国债收益率从4月初的2.86%下行到2.64%。信用债市场方面，二季度信用债由于季节性因素供给相对偏弱，需求端理财规模企稳回升，叠加银行表内存款利率下调，息差空间打开后增量资金进入债市，信用债需求较强，在供需格局支撑下，信用债走势偏强。</w:t>
        <w:br w:type="textWrapping" w:clear="all"/>
      </w:r>
      <w:r>
        <w:rPr>
          <w:rFonts w:ascii="方正仿宋简体" w:eastAsia="方正仿宋简体" w:hint="eastAsia"/>
          <w:sz w:val="24"/>
          <w:szCs w:val="24"/>
        </w:rPr>
        <w:t xml:space="preserve">    往后看，近期公布的经济数据和高频数据显示经济仍较为疲弱，增量政策的预期有所强化，而且债市经历一二季度持续上涨后，短期看债市收益率继续下行的空间可能相对有限，后续关注主要在于增量政策的落地和实际效果，但经济基本面偏弱格局未有明显改变，货币政策大概率维持宽松，债市大幅调整的风险相对可控，票息策略仍相对占优。考虑到当前信用债收益率和信用利差处于较低水平，操作上产品保持一定的杠杆水平，精选个券把握票息，适时参与波段交易增厚收益。</w:t>
        <w:br w:type="textWrapping" w:clear="all"/>
      </w:r>
      <w:r>
        <w:rPr>
          <w:rFonts w:ascii="方正仿宋简体" w:eastAsia="方正仿宋简体" w:hint="eastAsia"/>
          <w:sz w:val="24"/>
          <w:szCs w:val="24"/>
        </w:rPr>
        <w:t xml:space="preserve">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截至报告期末，本产品份额净值为1.0316元。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032100006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21东泰投资PPN001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40,472,880.00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8.02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167403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20南湖01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40,000,312.43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7.93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162769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19嘉建02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7.93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197835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21宿城02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031900053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19淮安国联PPN001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20,363,320.00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102103323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21镇江文旅MTN002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20,329,300.00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032101143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21柯桥国资PPN003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20,303,040.00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032191505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21江北新城PPN004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20,256,460.00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032200170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22新都香城PPN001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20,109,860.00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032380455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23袍江经开PPN002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20,009,220.00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3.97</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0120050000000316</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南京银行安稳1912一年定开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产品投资于关联方承销的证券交易金额40,428,358.94元。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支付关联方托管费24,645.88</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支付关联方代销费236,517.75元。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2023年06月30日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