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南银理财珠联璧合鑫悦享月月盈公募人民币理财产品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南银理财珠联璧合鑫悦享月月盈公募人民币理财产品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Z7003220000010（投资者可依据该编码在中国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2019年09月26日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5,707,913,195.90份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江苏省国际信托有限责任公司,太平资产管理有限公司,太平洋资产管理有限责任公司,鑫元基金管理有限公司,鑫沅资产管理有限公司,平安资产管理有限责任公司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5,102,558,682.32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1.1513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663,744,406.47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282,094,866.18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其中中低评级1-2年表现亮眼，下行70-80bp不等。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债市大幅调整的风险可控，预计为偏强震荡市，票息策略仍然占优。当前信用债收益率已处于较低水平，信用利差进一步压缩的空间有限，关注理财规模增长是否支撑信用债继续下行。考虑曲线形态较为平坦，中短端确定性相对更高，保持杠杆套息操作，择机参与交易机会。</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截至报告期末，本产品Z40002份额净值为1.0592元，Z40007份额净值为1.0623元，Z41002份额净值为1.0597元。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503,754,206.37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23进出01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350,811,300.00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336,134,449.03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23工行二级资本债01A</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202,692,200.00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ZJQTT202304250023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太平资产稳赢36号资管产品</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200,783,929.45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170,411,383.22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162142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19嵊州03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110,026,224.23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101,137,994.43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101,066,282.42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100,987,346.63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产品投资关联方作为管理人的资产管理产品交易金额250,000,000.00元。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支付关联方托管费281,430.67</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1,505,843.39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