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
      </w:r>
      <w:proofErr w:type="spellStart"/>
      <w:r w:rsidRPr="00B0184E">
        <w:rPr>
          <w:rFonts w:ascii="方正黑体简体" w:eastAsia="方正黑体简体" w:hAnsi="Calibri" w:hint="eastAsia"/>
          <w:sz w:val="36"/>
        </w:rPr>
        <w:t/>
      </w:r>
      <w:proofErr w:type="spellEnd"/>
      <w:r w:rsidRPr="00B0184E">
        <w:rPr>
          <w:rFonts w:ascii="方正黑体简体" w:eastAsia="方正黑体简体" w:hAnsi="Calibri" w:hint="eastAsia"/>
          <w:sz w:val="36"/>
        </w:rPr>
        <w:t>南银理财珠联璧合鑫逸稳一年82期封闭式公募人民币理财产品</w:t>
      </w: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2023年第</w:t>
      </w:r>
      <w:r w:rsidR="00E80B2A" w:rsidRPr="00B0184E">
        <w:rPr>
          <w:rFonts w:ascii="方正黑体简体" w:eastAsia="方正黑体简体" w:hAnsi="Calibri" w:hint="eastAsia"/>
          <w:sz w:val="36"/>
        </w:rPr>
        <w:t>2</w:t>
      </w:r>
      <w:r w:rsidRPr="00B0184E">
        <w:rPr>
          <w:rFonts w:ascii="方正黑体简体" w:eastAsia="方正黑体简体" w:hAnsi="Calibri" w:hint="eastAsia"/>
          <w:sz w:val="36"/>
        </w:rPr>
        <w:t>季度报告</w:t>
      </w: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产品管理人:南银理财有限责任公司</w:t>
      </w: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产品托管人:南京银行股份有限公司</w:t>
      </w:r>
    </w:p>
    <w:p w:rsidR="00D46EBF" w:rsidRPr="00D46EBF" w:rsidRDefault="00D46EBF" w:rsidP="00675A8D">
      <w:pPr>
        <w:spacing w:before="240" w:after="72" w:line="360" w:lineRule="auto"/>
        <w:rPr>
          <w:rFonts w:ascii="方正黑体简体" w:eastAsia="方正黑体简体"/>
          <w:sz w:val="36"/>
          <w:szCs w:val="36"/>
        </w:rPr>
      </w:pPr>
    </w:p>
    <w:p w:rsidR="00D46EBF" w:rsidRPr="0068509B" w:rsidRDefault="00D46EBF" w:rsidP="00675A8D">
      <w:pPr>
        <w:spacing w:before="240" w:after="72" w:line="360" w:lineRule="auto"/>
        <w:rPr>
          <w:rFonts w:ascii="方正黑体简体" w:eastAsia="方正黑体简体"/>
          <w:sz w:val="36"/>
          <w:szCs w:val="36"/>
        </w:rPr>
      </w:pPr>
    </w:p>
    <w:p w:rsidR="00D46EBF" w:rsidRDefault="00D46EBF" w:rsidP="00675A8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2719"/>
        <w:gridCol w:w="6178"/>
      </w:tblGrid>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产品全称</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南银理财珠联璧合鑫逸稳一年82期封闭式公募人民币理财产品</w:t>
            </w:r>
          </w:p>
        </w:tc>
      </w:tr>
      <w:tr w:rsidR="00B31DA4" w:rsidTr="0031044B">
        <w:trPr>
          <w:trHeight w:val="1300"/>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产品登记编码</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Z7003222000068（投资者可依据该编码在中国</w:t>
            </w:r>
            <w:proofErr w:type="gramStart"/>
            <w:r w:rsidRPr="00B0184E">
              <w:rPr>
                <w:rFonts w:ascii="方正仿宋简体" w:eastAsia="方正仿宋简体" w:hint="eastAsia"/>
                <w:sz w:val="24"/>
                <w:szCs w:val="24"/>
              </w:rPr>
              <w:t>理财网</w:t>
            </w:r>
            <w:proofErr w:type="gramEnd"/>
            <w:r w:rsidRPr="00B0184E">
              <w:rPr>
                <w:rFonts w:ascii="方正仿宋简体" w:eastAsia="方正仿宋简体" w:hint="eastAsia"/>
                <w:sz w:val="24"/>
                <w:szCs w:val="24"/>
              </w:rPr>
              <w:t>www.chinawealth.com.cn查询理财产品相关信息）</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产品运作方式</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封闭式净值型</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产品成立日</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2022年10月19日</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报告期末产品份额总额</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872,603,308.00份</w:t>
            </w:r>
          </w:p>
        </w:tc>
      </w:tr>
      <w:tr w:rsidR="00B31DA4" w:rsidTr="0031044B">
        <w:trPr>
          <w:trHeight w:val="688"/>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合作机构</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鑫元基金管理有限公司,鹏华基金管理有限公司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产品管理人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南银理财有限责任公司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产品托管人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南京银行股份有限公司</w:t>
            </w:r>
          </w:p>
        </w:tc>
      </w:tr>
    </w:tbl>
    <w:p w:rsidR="00B31DA4" w:rsidRDefault="00B31DA4" w:rsidP="00675A8D">
      <w:pPr>
        <w:spacing w:before="240" w:after="72" w:line="360" w:lineRule="auto"/>
        <w:rPr>
          <w:rFonts w:ascii="方正仿宋_GBK" w:eastAsia="方正仿宋_GBK" w:hAnsi="宋体" w:cs="宋体"/>
          <w:kern w:val="0"/>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§2  主要财务指标</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2.1 主要财务指标</w:t>
      </w:r>
    </w:p>
    <w:p w:rsidR="00B31DA4" w:rsidRPr="00B0184E" w:rsidRDefault="007816A9" w:rsidP="00675A8D">
      <w:pPr>
        <w:spacing w:before="240" w:after="72" w:line="360" w:lineRule="auto"/>
        <w:jc w:val="right"/>
        <w:rPr>
          <w:rFonts w:ascii="方正仿宋简体" w:eastAsia="方正仿宋简体"/>
          <w:sz w:val="24"/>
          <w:szCs w:val="24"/>
        </w:rPr>
      </w:pPr>
      <w:r w:rsidRPr="00B0184E">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1838"/>
        <w:gridCol w:w="2693"/>
        <w:gridCol w:w="2410"/>
        <w:gridCol w:w="2126"/>
      </w:tblGrid>
      <w:tr w:rsidR="00B31DA4" w:rsidRPr="00B0184E" w:rsidTr="00E2696A">
        <w:trPr>
          <w:trHeight w:val="699"/>
          <w:jc w:val="center"/>
        </w:trPr>
        <w:tc>
          <w:tcPr>
            <w:tcW w:w="1838" w:type="dxa"/>
            <w:vMerge w:val="restart"/>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内部销售代码</w:t>
            </w:r>
          </w:p>
        </w:tc>
        <w:tc>
          <w:tcPr>
            <w:tcW w:w="7229" w:type="dxa"/>
            <w:gridSpan w:val="3"/>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报告期（2023年04月01日 - 2023年06月30日）</w:t>
            </w:r>
          </w:p>
        </w:tc>
      </w:tr>
      <w:tr w:rsidR="00B31DA4" w:rsidRPr="00B0184E" w:rsidTr="00E2696A">
        <w:trPr>
          <w:trHeight w:val="1697"/>
          <w:jc w:val="center"/>
        </w:trPr>
        <w:tc>
          <w:tcPr>
            <w:tcW w:w="1838" w:type="dxa"/>
            <w:vMerge/>
            <w:vAlign w:val="center"/>
          </w:tcPr>
          <w:p w:rsidR="00B31DA4" w:rsidRPr="00B0184E" w:rsidRDefault="00B31DA4" w:rsidP="00E80B2A">
            <w:pPr>
              <w:spacing w:beforeLines="20" w:before="48" w:afterLines="20" w:after="48"/>
              <w:jc w:val="center"/>
              <w:rPr>
                <w:rFonts w:ascii="方正仿宋简体" w:eastAsia="方正仿宋简体"/>
                <w:sz w:val="24"/>
                <w:szCs w:val="24"/>
              </w:rPr>
            </w:pPr>
          </w:p>
        </w:tc>
        <w:tc>
          <w:tcPr>
            <w:tcW w:w="269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1.期末产品最后一个市场交易</w:t>
            </w:r>
            <w:proofErr w:type="gramStart"/>
            <w:r w:rsidRPr="00B0184E">
              <w:rPr>
                <w:rFonts w:ascii="方正仿宋简体" w:eastAsia="方正仿宋简体" w:hint="eastAsia"/>
                <w:sz w:val="24"/>
                <w:szCs w:val="24"/>
              </w:rPr>
              <w:t>日资产</w:t>
            </w:r>
            <w:proofErr w:type="gramEnd"/>
            <w:r w:rsidRPr="00B0184E">
              <w:rPr>
                <w:rFonts w:ascii="方正仿宋简体" w:eastAsia="方正仿宋简体" w:hint="eastAsia"/>
                <w:sz w:val="24"/>
                <w:szCs w:val="24"/>
              </w:rPr>
              <w:t>净值</w:t>
            </w:r>
          </w:p>
        </w:tc>
        <w:tc>
          <w:tcPr>
            <w:tcW w:w="241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2.期末产品最后一个市场交易日份额净值</w:t>
            </w:r>
          </w:p>
        </w:tc>
        <w:tc>
          <w:tcPr>
            <w:tcW w:w="212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Y30082</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73,515,668.56</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1.0218</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1.0218</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Y31082</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665,314,929.99</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1.0225</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1.0225</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Y32082</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153,485,890.99</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1.0232</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1.0232</w:t>
            </w:r>
          </w:p>
        </w:tc>
      </w:tr>
    </w:tbl>
    <w:p w:rsidR="00B31DA4" w:rsidRPr="00B0184E" w:rsidRDefault="007816A9" w:rsidP="00675A8D">
      <w:pPr>
        <w:pStyle w:val="biaogeleft"/>
        <w:spacing w:before="240" w:after="72" w:line="360" w:lineRule="auto"/>
        <w:ind w:left="0"/>
        <w:rPr>
          <w:rFonts w:ascii="方正仿宋简体" w:eastAsia="方正仿宋简体" w:hAnsi="Times New Roman" w:cs="Times New Roman"/>
          <w:kern w:val="2"/>
        </w:rPr>
      </w:pPr>
      <w:r w:rsidRPr="00B0184E">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B31DA4"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§3  管理人报告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3.1 报告期内产品的投资策略和运作分析</w:t>
      </w:r>
    </w:p>
    <w:p w:rsidR="00B31DA4" w:rsidRPr="00B0184E" w:rsidRDefault="007816A9" w:rsidP="00675A8D">
      <w:pPr>
        <w:spacing w:before="240" w:after="72" w:line="360" w:lineRule="auto"/>
        <w:rPr>
          <w:rFonts w:ascii="方正仿宋简体" w:eastAsia="方正仿宋简体"/>
          <w:sz w:val="24"/>
          <w:szCs w:val="24"/>
        </w:rPr>
      </w:pPr>
      <w:r>
        <w:rPr>
          <w:rFonts w:ascii="方正仿宋简体" w:eastAsia="方正仿宋简体" w:hint="eastAsia"/>
          <w:sz w:val="24"/>
          <w:szCs w:val="24"/>
        </w:rPr>
        <w:t>    2023年上半年，在经济内生需求不足、政策面托而不举、资金面稳定宽松的背景下，债市先跌后涨，整体走强，10年期国债收益率从年初的2.84%下行到2.64%，市场交易重心逐步从强预期转为弱现实。由于上半年信用债供给偏少，理财负债端修复良好，在资产荒行情驱动下，信用债大幅下行，表现好于利率，信用利差整体压缩，收益率曲线趋于平坦化。6月降息后，市场对政策预期再度升温，利率品种波动加大，在资金中枢抬升的带动下，债市一度出现调整。</w:t>
        <w:br w:type="textWrapping" w:clear="all"/>
      </w:r>
      <w:r>
        <w:rPr>
          <w:rFonts w:ascii="方正仿宋简体" w:eastAsia="方正仿宋简体" w:hint="eastAsia"/>
          <w:sz w:val="24"/>
          <w:szCs w:val="24"/>
        </w:rPr>
        <w:t xml:space="preserve">    展望后市，基本面高频数据仍偏疲弱，刺激政策的出台和效果尚不明朗，需要持续观察。政治局会议之前，若政策预期继续强化，短期内可能对债市有所压制，但中期来看，强刺激的可能性并不算大，稳增长政策出台后，也需要数据验证效果，基本面对债市仍相对有利，加上资金面易松难紧，债市大幅调整的风险可控，预计为偏强震荡市，票息策略仍然占优。不过当前信用债收益率已处于较低水平，信用利差进一步压缩的空间有限，关注理财规模增长是否支撑信用债继续下行。考虑曲线形态较为平坦，中短端确定性相对更高，择机参与交易机会。</w:t>
      </w: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3.2 报告期内产品的流动性风险分析</w:t>
      </w:r>
    </w:p>
    <w:p w:rsidR="00B31DA4" w:rsidRPr="00B0184E" w:rsidRDefault="007816A9" w:rsidP="00675A8D">
      <w:pPr>
        <w:spacing w:before="240" w:after="72" w:line="360" w:lineRule="auto"/>
        <w:rPr>
          <w:rFonts w:ascii="方正仿宋简体" w:eastAsia="方正仿宋简体"/>
          <w:sz w:val="24"/>
          <w:szCs w:val="24"/>
        </w:rPr>
      </w:pPr>
      <w:r w:rsidRPr="00B0184E">
        <w:rPr>
          <w:rFonts w:ascii="方正仿宋简体" w:eastAsia="方正仿宋简体"/>
          <w:sz w:val="24"/>
          <w:szCs w:val="24"/>
        </w:rPr>
        <w:t/>
      </w:r>
      <w:proofErr w:type="spellStart"/>
      <w:r w:rsidRPr="00B0184E">
        <w:rPr>
          <w:rFonts w:ascii="方正仿宋简体" w:eastAsia="方正仿宋简体"/>
          <w:sz w:val="24"/>
          <w:szCs w:val="24"/>
        </w:rPr>
        <w:t/>
      </w:r>
      <w:proofErr w:type="spellEnd"/>
      <w:r w:rsidRPr="00B0184E">
        <w:rPr>
          <w:rFonts w:ascii="方正仿宋简体" w:eastAsia="方正仿宋简体"/>
          <w:sz w:val="24"/>
          <w:szCs w:val="24"/>
        </w:rPr>
        <w:t>    本理财产品主要投向具有良好流动性的标准化债券资产和非标债权资产，其中非标债权    资产的投资比例不超过说明书约定的比例上限，资产到期日不晚于本理财产品的到期日，流动性风险可控。</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3.3 报告期内产品的业绩表现</w:t>
      </w:r>
    </w:p>
    <w:p w:rsidR="00B31DA4" w:rsidRPr="00B0184E" w:rsidRDefault="007816A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截至报告期末，本产品Y30082份额净值为1.0218元，Y31082份额净值为1.0225元，Y32082份额净值为1.0232元。</w:t>
      </w:r>
    </w:p>
    <w:p w:rsidR="00B31DA4" w:rsidRDefault="00B31DA4" w:rsidP="00675A8D">
      <w:pPr>
        <w:spacing w:before="240" w:after="72" w:line="360" w:lineRule="auto"/>
        <w:rPr>
          <w:rFonts w:ascii="方正仿宋_GBK" w:eastAsia="方正仿宋_GBK" w:hAnsi="宋体"/>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§4  投资组合报告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45"/>
        <w:gridCol w:w="1859"/>
        <w:gridCol w:w="3002"/>
        <w:gridCol w:w="3289"/>
      </w:tblGrid>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资产类别</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proofErr w:type="gramStart"/>
            <w:r w:rsidRPr="00B0184E">
              <w:rPr>
                <w:rFonts w:ascii="方正仿宋简体" w:eastAsia="方正仿宋简体" w:hint="eastAsia"/>
                <w:sz w:val="24"/>
                <w:szCs w:val="24"/>
              </w:rPr>
              <w:t>穿透前占总</w:t>
            </w:r>
            <w:proofErr w:type="gramEnd"/>
            <w:r w:rsidRPr="00B0184E">
              <w:rPr>
                <w:rFonts w:ascii="方正仿宋简体" w:eastAsia="方正仿宋简体" w:hint="eastAsia"/>
                <w:sz w:val="24"/>
                <w:szCs w:val="24"/>
              </w:rPr>
              <w:t>资产比例</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穿透后占总资产比例</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lastRenderedPageBreak/>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固定收益类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权益类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商品及金融衍生品类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混合类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合计</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r>
    </w:tbl>
    <w:p w:rsidR="00B31DA4" w:rsidRPr="00A21516"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50"/>
        <w:gridCol w:w="1581"/>
        <w:gridCol w:w="2712"/>
        <w:gridCol w:w="2052"/>
        <w:gridCol w:w="1807"/>
      </w:tblGrid>
      <w:tr w:rsidR="00B31DA4" w:rsidTr="0031044B">
        <w:trPr>
          <w:trHeight w:val="1233"/>
          <w:jc w:val="center"/>
        </w:trPr>
        <w:tc>
          <w:tcPr>
            <w:tcW w:w="75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58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代码</w:t>
            </w:r>
          </w:p>
        </w:tc>
        <w:tc>
          <w:tcPr>
            <w:tcW w:w="272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名称</w:t>
            </w:r>
          </w:p>
        </w:tc>
        <w:tc>
          <w:tcPr>
            <w:tcW w:w="2058"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公允价值（元）</w:t>
            </w:r>
          </w:p>
        </w:tc>
        <w:tc>
          <w:tcPr>
            <w:tcW w:w="1812"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占产品资产净值比例（％）</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ZZGJT202005290001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鑫元基金-鑫安利得51号</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408,095,486.72</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45.73</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22881333</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22泰交通04</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138,000,000.00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15.47</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22881429</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22邗江城建01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120,000,000.00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13.45</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22881393</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22淮安新城09</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110,000,000.00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12.33</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ZJQTT202103180001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鹏华基金南华1号集合资产管理计划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50,430,699.57</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5.65</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22881374</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22盛州集团01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50,000,000.00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5.60</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77"/>
        <w:gridCol w:w="1704"/>
        <w:gridCol w:w="1275"/>
        <w:gridCol w:w="1540"/>
        <w:gridCol w:w="1383"/>
        <w:gridCol w:w="1271"/>
        <w:gridCol w:w="876"/>
      </w:tblGrid>
      <w:tr w:rsidR="00B31DA4" w:rsidTr="007816A9">
        <w:trPr>
          <w:trHeight w:val="1078"/>
          <w:jc w:val="center"/>
        </w:trPr>
        <w:tc>
          <w:tcPr>
            <w:tcW w:w="877"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704"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融资客户</w:t>
            </w:r>
          </w:p>
        </w:tc>
        <w:tc>
          <w:tcPr>
            <w:tcW w:w="127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项目名称</w:t>
            </w:r>
          </w:p>
        </w:tc>
        <w:tc>
          <w:tcPr>
            <w:tcW w:w="154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剩余融资期限（</w:t>
            </w:r>
            <w:r w:rsidRPr="00B0184E">
              <w:rPr>
                <w:rFonts w:ascii="方正仿宋简体" w:eastAsia="方正仿宋简体"/>
                <w:sz w:val="24"/>
                <w:szCs w:val="24"/>
              </w:rPr>
              <w:t>天）</w:t>
            </w:r>
          </w:p>
        </w:tc>
        <w:tc>
          <w:tcPr>
            <w:tcW w:w="138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到期收益分配</w:t>
            </w:r>
          </w:p>
        </w:tc>
        <w:tc>
          <w:tcPr>
            <w:tcW w:w="127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交易结构</w:t>
            </w:r>
          </w:p>
        </w:tc>
        <w:tc>
          <w:tcPr>
            <w:tcW w:w="87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扬州市邗江城市建设发展有限公司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22邗江城建01</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139</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淮安新城投资开发集团有限公司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22淮安新城09</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132</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盐城盛州集团有限公司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22盛州集团01</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126</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泰州市交通产业集团有限公司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22泰交通04</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117</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46"/>
        <w:gridCol w:w="1417"/>
        <w:gridCol w:w="2668"/>
        <w:gridCol w:w="1983"/>
        <w:gridCol w:w="1988"/>
      </w:tblGrid>
      <w:tr w:rsidR="000532CC" w:rsidTr="00531855">
        <w:trPr>
          <w:trHeight w:val="584"/>
          <w:jc w:val="center"/>
        </w:trPr>
        <w:tc>
          <w:tcPr>
            <w:tcW w:w="846"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417"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账户类型</w:t>
            </w:r>
          </w:p>
        </w:tc>
        <w:tc>
          <w:tcPr>
            <w:tcW w:w="266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账号</w:t>
            </w:r>
          </w:p>
        </w:tc>
        <w:tc>
          <w:tcPr>
            <w:tcW w:w="1983"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账户名称</w:t>
            </w:r>
          </w:p>
        </w:tc>
        <w:tc>
          <w:tcPr>
            <w:tcW w:w="198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0120030000000925</w:t>
            </w:r>
          </w:p>
        </w:tc>
        <w:tc>
          <w:tcPr>
            <w:tcW w:w="19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南银理财鑫逸稳一年82期</w:t>
            </w:r>
          </w:p>
        </w:tc>
        <w:tc>
          <w:tcPr>
            <w:tcW w:w="198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B31DA4" w:rsidRDefault="00B31DA4" w:rsidP="0068509B">
      <w:pPr>
        <w:spacing w:afterLines="0" w:line="360" w:lineRule="auto"/>
        <w:rPr>
          <w:rFonts w:ascii="方正仿宋_GBK" w:eastAsia="方正仿宋_GBK"/>
          <w:sz w:val="24"/>
          <w:szCs w:val="24"/>
        </w:rPr>
      </w:pPr>
    </w:p>
    <w:p w:rsidR="00675A8D" w:rsidRDefault="00675A8D" w:rsidP="00675A8D">
      <w:pPr>
        <w:spacing w:before="240" w:after="72" w:line="360" w:lineRule="auto"/>
        <w:jc w:val="center"/>
        <w:rPr>
          <w:rFonts w:ascii="方正仿宋_GBK" w:eastAsia="方正仿宋_GBK"/>
          <w:b/>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bookmarkStart w:id="0" w:name="_GoBack"/>
      <w:r w:rsidRPr="00B0184E">
        <w:rPr>
          <w:rFonts w:ascii="方正仿宋简体" w:eastAsia="方正仿宋简体" w:hint="eastAsia"/>
          <w:b/>
          <w:sz w:val="24"/>
          <w:szCs w:val="24"/>
        </w:rPr>
        <w:t>§6 关联交易情况</w:t>
      </w:r>
    </w:p>
    <w:bookmarkEnd w:id="0"/>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报告期内，产品投资于关联</w:t>
      </w:r>
      <w:proofErr w:type="gramStart"/>
      <w:r w:rsidRPr="00B0184E">
        <w:rPr>
          <w:rFonts w:ascii="方正仿宋简体" w:eastAsia="方正仿宋简体" w:hint="eastAsia"/>
          <w:sz w:val="24"/>
          <w:szCs w:val="24"/>
        </w:rPr>
        <w:t>方发行</w:t>
      </w:r>
      <w:proofErr w:type="gramEnd"/>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的证券、关联方作为融资人的非标准化债权类资产业务交易金额0.00元。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产品投资于关联方承销的证券交易金额0.00元。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产品与关联方作为交易对手开展的投融资业务交易金额0.00元。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产品投资关联方作为管理人的资产管理产品交易金额0.00元。</w:t>
      </w:r>
    </w:p>
    <w:p w:rsidR="004601C9" w:rsidRPr="00B0184E" w:rsidRDefault="00DD2B26"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产品</w:t>
      </w:r>
      <w:r w:rsidR="004601C9" w:rsidRPr="00B0184E">
        <w:rPr>
          <w:rFonts w:ascii="方正仿宋简体" w:eastAsia="方正仿宋简体" w:hint="eastAsia"/>
          <w:sz w:val="24"/>
          <w:szCs w:val="24"/>
        </w:rPr>
        <w:t/>
      </w:r>
      <w:proofErr w:type="spellStart"/>
      <w:r w:rsidR="004601C9" w:rsidRPr="00B0184E">
        <w:rPr>
          <w:rFonts w:ascii="方正仿宋简体" w:eastAsia="方正仿宋简体" w:hint="eastAsia"/>
          <w:sz w:val="24"/>
          <w:szCs w:val="24"/>
        </w:rPr>
        <w:t/>
      </w:r>
      <w:proofErr w:type="spellEnd"/>
      <w:r w:rsidR="004601C9" w:rsidRPr="00B0184E">
        <w:rPr>
          <w:rFonts w:ascii="方正仿宋简体" w:eastAsia="方正仿宋简体" w:hint="eastAsia"/>
          <w:sz w:val="24"/>
          <w:szCs w:val="24"/>
        </w:rPr>
        <w:t>支付关联方托管费0.00</w:t>
      </w:r>
      <w:r w:rsidRPr="00B0184E">
        <w:rPr>
          <w:rFonts w:ascii="方正仿宋简体" w:eastAsia="方正仿宋简体" w:hint="eastAsia"/>
          <w:sz w:val="24"/>
          <w:szCs w:val="24"/>
        </w:rPr>
        <w:t>元，</w:t>
      </w:r>
      <w:r w:rsidR="004601C9" w:rsidRPr="00B0184E">
        <w:rPr>
          <w:rFonts w:ascii="方正仿宋简体" w:eastAsia="方正仿宋简体" w:hint="eastAsia"/>
          <w:sz w:val="24"/>
          <w:szCs w:val="24"/>
        </w:rPr>
        <w:t>支付关联方代销费</w:t>
      </w:r>
      <w:r w:rsidR="00735F94" w:rsidRPr="00B0184E">
        <w:rPr>
          <w:rFonts w:ascii="方正仿宋简体" w:eastAsia="方正仿宋简体" w:hint="eastAsia"/>
          <w:sz w:val="24"/>
          <w:szCs w:val="24"/>
        </w:rPr>
        <w:t/>
      </w:r>
      <w:proofErr w:type="spellStart"/>
      <w:r w:rsidR="00735F94" w:rsidRPr="00B0184E">
        <w:rPr>
          <w:rFonts w:ascii="方正仿宋简体" w:eastAsia="方正仿宋简体" w:hint="eastAsia"/>
          <w:sz w:val="24"/>
          <w:szCs w:val="24"/>
        </w:rPr>
        <w:t/>
      </w:r>
      <w:proofErr w:type="spellEnd"/>
      <w:r w:rsidR="00735F94" w:rsidRPr="00B0184E">
        <w:rPr>
          <w:rFonts w:ascii="方正仿宋简体" w:eastAsia="方正仿宋简体" w:hint="eastAsia"/>
          <w:sz w:val="24"/>
          <w:szCs w:val="24"/>
        </w:rPr>
        <w:t>159,245.81</w:t>
      </w:r>
      <w:r w:rsidR="004601C9" w:rsidRPr="00B0184E">
        <w:rPr>
          <w:rFonts w:ascii="方正仿宋简体" w:eastAsia="方正仿宋简体" w:hint="eastAsia"/>
          <w:sz w:val="24"/>
          <w:szCs w:val="24"/>
        </w:rPr>
        <w:t>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产品发生其他关联交易金额0.00元。</w:t>
      </w:r>
    </w:p>
    <w:p w:rsidR="00B31DA4"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lastRenderedPageBreak/>
        <w:t>报告期内，产品未发生重大关联交易。</w:t>
      </w: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jc w:val="right"/>
        <w:rPr>
          <w:rFonts w:ascii="方正仿宋_GBK" w:eastAsia="方正仿宋_GBK"/>
          <w:b/>
          <w:sz w:val="24"/>
          <w:szCs w:val="24"/>
        </w:rPr>
      </w:pP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南银理财有限责任公司</w:t>
      </w: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2023年06月30日</w:t>
      </w:r>
    </w:p>
    <w:p w:rsidR="00B31DA4" w:rsidRDefault="00B31DA4" w:rsidP="00675A8D">
      <w:pPr>
        <w:spacing w:before="240" w:after="72" w:line="360" w:lineRule="auto"/>
        <w:rPr>
          <w:rFonts w:ascii="方正仿宋_GBK" w:eastAsia="方正仿宋_GBK"/>
          <w:sz w:val="24"/>
          <w:szCs w:val="24"/>
        </w:rPr>
      </w:pPr>
    </w:p>
    <w:p w:rsidR="00B31DA4" w:rsidRDefault="00B31DA4" w:rsidP="00675A8D">
      <w:pPr>
        <w:spacing w:before="240" w:after="72" w:line="360" w:lineRule="auto"/>
        <w:rPr>
          <w:rFonts w:ascii="方正仿宋_GBK" w:eastAsia="方正仿宋_GBK"/>
          <w:sz w:val="24"/>
          <w:szCs w:val="24"/>
        </w:rPr>
      </w:pPr>
    </w:p>
    <w:sectPr w:rsidR="00B31DA4" w:rsidSect="00FE56AA">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285D" w:rsidRDefault="00C4285D">
      <w:pPr>
        <w:spacing w:after="72"/>
      </w:pPr>
      <w:r>
        <w:separator/>
      </w:r>
    </w:p>
  </w:endnote>
  <w:endnote w:type="continuationSeparator" w:id="0">
    <w:p w:rsidR="00C4285D" w:rsidRDefault="00C4285D">
      <w:pPr>
        <w:spacing w:after="7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fixed"/>
    <w:sig w:usb0="00000001" w:usb1="080E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D76555">
    <w:pPr>
      <w:pStyle w:val="a3"/>
      <w:framePr w:wrap="around" w:vAnchor="text" w:hAnchor="margin" w:xAlign="center" w:y="1"/>
      <w:spacing w:after="72"/>
      <w:rPr>
        <w:rStyle w:val="a6"/>
      </w:rPr>
    </w:pPr>
    <w:r>
      <w:fldChar w:fldCharType="begin"/>
    </w:r>
    <w:r w:rsidR="007816A9">
      <w:rPr>
        <w:rStyle w:val="a6"/>
      </w:rPr>
      <w:instrText xml:space="preserve">PAGE  </w:instrText>
    </w:r>
    <w:r>
      <w:fldChar w:fldCharType="end"/>
    </w:r>
  </w:p>
  <w:p w:rsidR="00B31DA4" w:rsidRDefault="00B31DA4">
    <w:pPr>
      <w:pStyle w:val="a3"/>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285D" w:rsidRDefault="00C4285D">
      <w:pPr>
        <w:spacing w:after="72"/>
      </w:pPr>
      <w:r>
        <w:separator/>
      </w:r>
    </w:p>
  </w:footnote>
  <w:footnote w:type="continuationSeparator" w:id="0">
    <w:p w:rsidR="00C4285D" w:rsidRDefault="00C4285D">
      <w:pPr>
        <w:spacing w:after="7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47B713EE-A110-4569-BB15-FC96424C7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56AA"/>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FE56AA"/>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FE56AA"/>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FE56AA"/>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FE56AA"/>
  </w:style>
  <w:style w:type="character" w:customStyle="1" w:styleId="Char">
    <w:name w:val="页脚 Char"/>
    <w:link w:val="a3"/>
    <w:uiPriority w:val="99"/>
    <w:qFormat/>
    <w:locked/>
    <w:rsid w:val="00FE56AA"/>
    <w:rPr>
      <w:rFonts w:ascii="Times New Roman" w:hAnsi="Times New Roman" w:cs="Times New Roman"/>
      <w:sz w:val="18"/>
      <w:szCs w:val="18"/>
    </w:rPr>
  </w:style>
  <w:style w:type="character" w:customStyle="1" w:styleId="Char1">
    <w:name w:val="页脚 Char1"/>
    <w:basedOn w:val="a0"/>
    <w:uiPriority w:val="99"/>
    <w:semiHidden/>
    <w:qFormat/>
    <w:rsid w:val="00FE56AA"/>
    <w:rPr>
      <w:rFonts w:ascii="Times New Roman" w:eastAsia="宋体" w:hAnsi="Times New Roman" w:cs="Times New Roman"/>
      <w:sz w:val="18"/>
      <w:szCs w:val="18"/>
    </w:rPr>
  </w:style>
  <w:style w:type="paragraph" w:customStyle="1" w:styleId="biaogeleft">
    <w:name w:val="biaoge_left"/>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FE56AA"/>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FE56AA"/>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FE56AA"/>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FE56AA"/>
    <w:pPr>
      <w:jc w:val="both"/>
    </w:pPr>
    <w:rPr>
      <w:rFonts w:ascii="Times New Roman" w:eastAsia="宋体" w:hAnsi="Times New Roman" w:cs="Times New Roman"/>
      <w:kern w:val="2"/>
      <w:sz w:val="21"/>
      <w:szCs w:val="21"/>
    </w:rPr>
  </w:style>
  <w:style w:type="paragraph" w:customStyle="1" w:styleId="biaogeright">
    <w:name w:val="biaoge_right"/>
    <w:basedOn w:val="a"/>
    <w:qFormat/>
    <w:rsid w:val="00FE56AA"/>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FE56AA"/>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FE56AA"/>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FE56AA"/>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6</Pages>
  <Words>315</Words>
  <Characters>1797</Characters>
  <Application>Microsoft Office Word</Application>
  <DocSecurity>0</DocSecurity>
  <Lines>14</Lines>
  <Paragraphs>4</Paragraphs>
  <ScaleCrop>false</ScaleCrop>
  <Company>cc</Company>
  <LinksUpToDate>false</LinksUpToDate>
  <CharactersWithSpaces>2108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2023-06-06T07:37:00Z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y fmtid="{D5CDD505-2E9C-101B-9397-08002B2CF9AE}" pid="3" name="ICV">
    <vt:lpwstr>65B57D7BDF384424A76A3B84B5FDE380</vt:lpwstr>
  </property>
</Properties>
</file>