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南银理财珠联璧合鑫逸稳两年10期（低波款）封闭式公募人民币理财产品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2</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南银理财珠联璧合鑫逸稳两年10期（低波款）封闭式公募人民币理财产品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Z7003223000025（投资者可依据该编码在中国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2023年02月15日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1,049,842,607.00份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创金合信基金管理有限公司,中融基金管理有限公司,中国对外经济贸易信托有限公司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报告期（2023年04月01日 - 2023年06月30日）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Y60010</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8,781,606.00</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1.0184</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1.0184</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Y61010</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540,531,625.68</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1.0192</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1.0192</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Y62010</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521,084,547.70</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1.0199</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1.0199</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二季度期间高频经济数据边际回落，30城商品房销售增速再度走弱，PMI数据转向低于荣枯线，市场对经济复苏力度的分歧再度加大。从供需两端看：二季度期间债券需求依然较强，多家银行下调存款利率，息差空间打开后债市引入增量资金，央行超预期下调OMO操作利率也一度点燃做多热情。而从供给端看，二季度债券供给仍相对清淡。供需支撑下，二季度期间债市总体延续上涨走势，直至季末在止盈诉求及资金面波动叠加下迎来阶段性回调。</w:t>
        <w:br w:type="textWrapping" w:clear="all"/>
      </w:r>
      <w:r>
        <w:rPr>
          <w:rFonts w:ascii="方正仿宋简体" w:eastAsia="方正仿宋简体" w:hint="eastAsia"/>
          <w:sz w:val="24"/>
          <w:szCs w:val="24"/>
        </w:rPr>
        <w:t xml:space="preserve">    往后看，债市将步入政策观察期，短期料将维持震荡走势。在经历一二季度持续上涨后，债券收益率下行空间已有一定压缩。此外，在宽货币提前兑现后，市场关注点也转向信用端政策接力，债市将持续面临政策端的信息扰动。但在地产政策保持定力下，市场持续关注能否有替代地产的新增有效信用载体出现，债券收益率调整同样受到制约。</w:t>
        <w:br w:type="textWrapping" w:clear="all"/>
      </w:r>
      <w:r>
        <w:rPr>
          <w:rFonts w:ascii="方正仿宋简体" w:eastAsia="方正仿宋简体" w:hint="eastAsia"/>
          <w:sz w:val="24"/>
          <w:szCs w:val="24"/>
        </w:rPr>
        <w:t xml:space="preserve">    今年二季度产品操作稳健略偏积极，在债券估值性价比较高的时点，积极寻找个券配置机会，提升组合静态。同时，在资金宽松的环境里适当运用杠杆增厚收益。市场机会把握方面，积极关注中长期利率品、银行资本补充工具的投资机会，以期为组合提供资本利得回报。下一阶段，产品将继续围绕稳健回报的收益目标进行操作，审慎精选票息品种，久期转向偏中性水平，同时做好市场走势的跟踪与研判，挖掘潜在投资机会。</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今年二季度以来，资金环境整体维持平稳，产品始终维持了合理的流动性资产仓位。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截至报告期末，本产品Y60010份额净值为1.0184元，Y61010份额净值为1.0192元，Y62010份额净值为1.0199元。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ZJQTT202302150021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创金合信鑫稳3号单一资产管理计划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253,500,000.00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23.68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ZZGJT202007150001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中融基金-鑫福1号集合资产管理计划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204,428,917.40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19.10</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23880385</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23太湖湾05</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194,000,000.00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18.12</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23880408</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23清江浦01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9.34</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23880347</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23沿江开发01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84,000,000.00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7.85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23880358</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23盐城交通04</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63,000,000.00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5.89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23880488</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23高教投资01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59,000,000.00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5.51</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31,409,562.54</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2.93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162721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19新昌02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30,553,948.02</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2.85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196040</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21溧源03</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19,836,292.82</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1.85</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泰州高教投资发展有限公司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23高教投资01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612</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淮安市清江浦城投控股集团有限公司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23清江浦01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604</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江苏武进太湖湾旅游发展有限公司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23太湖湾05</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602</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扬州市江都沿江开发有限公司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23沿江开发01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598</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盐城市交通投资建设控股集团有限公司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23盐城交通04</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598</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0120010000001049</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南银理财鑫逸稳两年10期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0.00</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2023年06月30日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