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8509B" w:rsidRDefault="0068509B" w:rsidP="00675A8D">
      <w:pPr>
        <w:spacing w:before="240" w:after="72" w:line="360" w:lineRule="auto"/>
        <w:rPr>
          <w:rFonts w:asciiTheme="minorEastAsia" w:eastAsiaTheme="minorEastAsia" w:hAnsiTheme="minorEastAsia"/>
        </w:rPr>
      </w:pPr>
    </w:p>
    <w:p w:rsidR="0068509B" w:rsidRDefault="0068509B" w:rsidP="00675A8D">
      <w:pPr>
        <w:spacing w:before="240" w:after="72" w:line="360" w:lineRule="auto"/>
        <w:rPr>
          <w:rFonts w:asciiTheme="minorEastAsia" w:eastAsiaTheme="minorEastAsia" w:hAnsiTheme="minorEastAsia"/>
        </w:rPr>
      </w:pPr>
    </w:p>
    <w:p w:rsidR="0068509B" w:rsidRDefault="0068509B" w:rsidP="00675A8D">
      <w:pPr>
        <w:spacing w:before="240" w:after="72" w:line="360" w:lineRule="auto"/>
        <w:rPr>
          <w:rFonts w:asciiTheme="minorEastAsia" w:eastAsiaTheme="minorEastAsia" w:hAnsiTheme="minorEastAsia"/>
        </w:rPr>
      </w:pPr>
    </w:p>
    <w:p w:rsidR="00B31DA4" w:rsidRPr="00B0184E" w:rsidRDefault="007816A9" w:rsidP="00675A8D">
      <w:pPr>
        <w:snapToGrid w:val="0"/>
        <w:spacing w:before="240" w:after="72" w:line="360" w:lineRule="auto"/>
        <w:jc w:val="center"/>
        <w:rPr>
          <w:rFonts w:ascii="方正黑体简体" w:eastAsia="方正黑体简体" w:hAnsi="Calibri"/>
          <w:sz w:val="36"/>
        </w:rPr>
      </w:pPr>
      <w:r w:rsidRPr="00B0184E">
        <w:rPr>
          <w:rFonts w:ascii="方正黑体简体" w:eastAsia="方正黑体简体" w:hAnsi="Calibri" w:hint="eastAsia"/>
          <w:sz w:val="36"/>
        </w:rPr>
        <w:t/>
      </w:r>
      <w:proofErr w:type="spellStart"/>
      <w:r w:rsidRPr="00B0184E">
        <w:rPr>
          <w:rFonts w:ascii="方正黑体简体" w:eastAsia="方正黑体简体" w:hAnsi="Calibri" w:hint="eastAsia"/>
          <w:sz w:val="36"/>
        </w:rPr>
        <w:t/>
      </w:r>
      <w:proofErr w:type="spellEnd"/>
      <w:r w:rsidRPr="00B0184E">
        <w:rPr>
          <w:rFonts w:ascii="方正黑体简体" w:eastAsia="方正黑体简体" w:hAnsi="Calibri" w:hint="eastAsia"/>
          <w:sz w:val="36"/>
        </w:rPr>
        <w:t>南银理财珠联璧合鑫逸稳两年9期（低波款）封闭式公募人民币理财产品</w:t>
      </w:r>
    </w:p>
    <w:p w:rsidR="00B31DA4" w:rsidRPr="00B0184E" w:rsidRDefault="007816A9" w:rsidP="00675A8D">
      <w:pPr>
        <w:snapToGrid w:val="0"/>
        <w:spacing w:before="240" w:after="72" w:line="360" w:lineRule="auto"/>
        <w:jc w:val="center"/>
        <w:rPr>
          <w:rFonts w:ascii="方正黑体简体" w:eastAsia="方正黑体简体" w:hAnsi="Calibri"/>
          <w:sz w:val="36"/>
        </w:rPr>
      </w:pPr>
      <w:r w:rsidRPr="00B0184E">
        <w:rPr>
          <w:rFonts w:ascii="方正黑体简体" w:eastAsia="方正黑体简体" w:hAnsi="Calibri" w:hint="eastAsia"/>
          <w:sz w:val="36"/>
        </w:rPr>
        <w:t>2023年第</w:t>
      </w:r>
      <w:r w:rsidR="00E80B2A" w:rsidRPr="00B0184E">
        <w:rPr>
          <w:rFonts w:ascii="方正黑体简体" w:eastAsia="方正黑体简体" w:hAnsi="Calibri" w:hint="eastAsia"/>
          <w:sz w:val="36"/>
        </w:rPr>
        <w:t>2</w:t>
      </w:r>
      <w:r w:rsidRPr="00B0184E">
        <w:rPr>
          <w:rFonts w:ascii="方正黑体简体" w:eastAsia="方正黑体简体" w:hAnsi="Calibri" w:hint="eastAsia"/>
          <w:sz w:val="36"/>
        </w:rPr>
        <w:t>季度报告</w:t>
      </w:r>
    </w:p>
    <w:p w:rsidR="0068509B" w:rsidRDefault="0068509B" w:rsidP="00675A8D">
      <w:pPr>
        <w:spacing w:before="240" w:after="72" w:line="360" w:lineRule="auto"/>
        <w:jc w:val="center"/>
        <w:rPr>
          <w:rFonts w:ascii="方正黑体简体" w:eastAsia="方正黑体简体"/>
          <w:sz w:val="36"/>
          <w:szCs w:val="36"/>
        </w:rPr>
      </w:pPr>
    </w:p>
    <w:p w:rsidR="0068509B" w:rsidRDefault="0068509B" w:rsidP="00675A8D">
      <w:pPr>
        <w:spacing w:before="240" w:after="72" w:line="360" w:lineRule="auto"/>
        <w:jc w:val="center"/>
        <w:rPr>
          <w:rFonts w:ascii="方正黑体简体" w:eastAsia="方正黑体简体"/>
          <w:sz w:val="36"/>
          <w:szCs w:val="36"/>
        </w:rPr>
      </w:pPr>
    </w:p>
    <w:p w:rsidR="0068509B" w:rsidRDefault="0068509B" w:rsidP="00675A8D">
      <w:pPr>
        <w:spacing w:before="240" w:after="72" w:line="360" w:lineRule="auto"/>
        <w:jc w:val="center"/>
        <w:rPr>
          <w:rFonts w:ascii="方正黑体简体" w:eastAsia="方正黑体简体"/>
          <w:sz w:val="36"/>
          <w:szCs w:val="36"/>
        </w:rPr>
      </w:pPr>
    </w:p>
    <w:p w:rsidR="0068509B" w:rsidRDefault="0068509B" w:rsidP="00675A8D">
      <w:pPr>
        <w:spacing w:before="240" w:after="72" w:line="360" w:lineRule="auto"/>
        <w:jc w:val="center"/>
        <w:rPr>
          <w:rFonts w:ascii="方正黑体简体" w:eastAsia="方正黑体简体"/>
          <w:sz w:val="36"/>
          <w:szCs w:val="36"/>
        </w:rPr>
      </w:pPr>
    </w:p>
    <w:p w:rsidR="00B31DA4" w:rsidRPr="00B0184E" w:rsidRDefault="007816A9" w:rsidP="00675A8D">
      <w:pPr>
        <w:snapToGrid w:val="0"/>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
      </w:r>
      <w:proofErr w:type="spellStart"/>
      <w:r w:rsidRPr="00B0184E">
        <w:rPr>
          <w:rFonts w:ascii="方正仿宋简体" w:eastAsia="方正仿宋简体" w:hint="eastAsia"/>
          <w:b/>
          <w:sz w:val="24"/>
          <w:szCs w:val="24"/>
        </w:rPr>
        <w:t/>
      </w:r>
      <w:proofErr w:type="spellEnd"/>
      <w:r w:rsidRPr="00B0184E">
        <w:rPr>
          <w:rFonts w:ascii="方正仿宋简体" w:eastAsia="方正仿宋简体" w:hint="eastAsia"/>
          <w:b/>
          <w:sz w:val="24"/>
          <w:szCs w:val="24"/>
        </w:rPr>
        <w:t>产品管理人:南银理财有限责任公司</w:t>
      </w:r>
    </w:p>
    <w:p w:rsidR="00B31DA4" w:rsidRPr="00B0184E" w:rsidRDefault="007816A9" w:rsidP="00675A8D">
      <w:pPr>
        <w:snapToGrid w:val="0"/>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
      </w:r>
      <w:proofErr w:type="spellStart"/>
      <w:r w:rsidRPr="00B0184E">
        <w:rPr>
          <w:rFonts w:ascii="方正仿宋简体" w:eastAsia="方正仿宋简体" w:hint="eastAsia"/>
          <w:b/>
          <w:sz w:val="24"/>
          <w:szCs w:val="24"/>
        </w:rPr>
        <w:t/>
      </w:r>
      <w:proofErr w:type="spellEnd"/>
      <w:r w:rsidRPr="00B0184E">
        <w:rPr>
          <w:rFonts w:ascii="方正仿宋简体" w:eastAsia="方正仿宋简体" w:hint="eastAsia"/>
          <w:b/>
          <w:sz w:val="24"/>
          <w:szCs w:val="24"/>
        </w:rPr>
        <w:t>产品托管人:南京银行股份有限公司</w:t>
      </w:r>
    </w:p>
    <w:p w:rsidR="00D46EBF" w:rsidRPr="00D46EBF" w:rsidRDefault="00D46EBF" w:rsidP="00675A8D">
      <w:pPr>
        <w:spacing w:before="240" w:after="72" w:line="360" w:lineRule="auto"/>
        <w:rPr>
          <w:rFonts w:ascii="方正黑体简体" w:eastAsia="方正黑体简体"/>
          <w:sz w:val="36"/>
          <w:szCs w:val="36"/>
        </w:rPr>
      </w:pPr>
    </w:p>
    <w:p w:rsidR="00D46EBF" w:rsidRPr="0068509B" w:rsidRDefault="00D46EBF" w:rsidP="00675A8D">
      <w:pPr>
        <w:spacing w:before="240" w:after="72" w:line="360" w:lineRule="auto"/>
        <w:rPr>
          <w:rFonts w:ascii="方正黑体简体" w:eastAsia="方正黑体简体"/>
          <w:sz w:val="36"/>
          <w:szCs w:val="36"/>
        </w:rPr>
      </w:pPr>
    </w:p>
    <w:p w:rsidR="00D46EBF" w:rsidRDefault="00D46EBF" w:rsidP="00675A8D">
      <w:pPr>
        <w:widowControl/>
        <w:spacing w:before="240" w:afterLines="0" w:line="360" w:lineRule="auto"/>
        <w:jc w:val="left"/>
        <w:rPr>
          <w:rFonts w:ascii="方正仿宋_GBK" w:eastAsia="方正仿宋_GBK" w:hAnsi="Calibri"/>
          <w:b/>
        </w:rPr>
      </w:pPr>
      <w:r>
        <w:rPr>
          <w:rFonts w:ascii="方正仿宋_GBK" w:eastAsia="方正仿宋_GBK" w:hAnsi="Calibri"/>
          <w:b/>
        </w:rPr>
        <w:br w:type="page"/>
      </w: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lastRenderedPageBreak/>
        <w:t>§1 产品概况</w:t>
      </w:r>
    </w:p>
    <w:tbl>
      <w:tblPr>
        <w:tblpPr w:leftFromText="180" w:rightFromText="180" w:vertAnchor="text" w:tblpY="1"/>
        <w:tblOverlap w:val="neve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2719"/>
        <w:gridCol w:w="6178"/>
      </w:tblGrid>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产品全称</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南银理财珠联璧合鑫逸稳两年9期（低波款）封闭式公募人民币理财产品</w:t>
            </w:r>
          </w:p>
        </w:tc>
      </w:tr>
      <w:tr w:rsidR="00B31DA4" w:rsidTr="0031044B">
        <w:trPr>
          <w:trHeight w:val="1300"/>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产品登记编码</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Z7003223000024（投资者可依据该编码在中国</w:t>
            </w:r>
            <w:proofErr w:type="gramStart"/>
            <w:r w:rsidRPr="00B0184E">
              <w:rPr>
                <w:rFonts w:ascii="方正仿宋简体" w:eastAsia="方正仿宋简体" w:hint="eastAsia"/>
                <w:sz w:val="24"/>
                <w:szCs w:val="24"/>
              </w:rPr>
              <w:t>理财网</w:t>
            </w:r>
            <w:proofErr w:type="gramEnd"/>
            <w:r w:rsidRPr="00B0184E">
              <w:rPr>
                <w:rFonts w:ascii="方正仿宋简体" w:eastAsia="方正仿宋简体" w:hint="eastAsia"/>
                <w:sz w:val="24"/>
                <w:szCs w:val="24"/>
              </w:rPr>
              <w:t>www.chinawealth.com.cn查询理财产品相关信息）</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产品运作方式</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封闭式净值型</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产品成立日</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2023年02月08日</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报告期末产品份额总额</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463,177,250.00份</w:t>
            </w:r>
          </w:p>
        </w:tc>
      </w:tr>
      <w:tr w:rsidR="00B31DA4" w:rsidTr="0031044B">
        <w:trPr>
          <w:trHeight w:val="688"/>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合作机构</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创金合信基金管理有限公司,中融基金管理有限公司</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产品管理人</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南银理财有限责任公司</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产品托管人</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南京银行股份有限公司</w:t>
            </w:r>
          </w:p>
        </w:tc>
      </w:tr>
    </w:tbl>
    <w:p w:rsidR="00B31DA4" w:rsidRDefault="00B31DA4" w:rsidP="00675A8D">
      <w:pPr>
        <w:spacing w:before="240" w:after="72" w:line="360" w:lineRule="auto"/>
        <w:rPr>
          <w:rFonts w:ascii="方正仿宋_GBK" w:eastAsia="方正仿宋_GBK" w:hAnsi="宋体" w:cs="宋体"/>
          <w:kern w:val="0"/>
          <w:sz w:val="24"/>
          <w:szCs w:val="24"/>
        </w:rPr>
      </w:pP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§2  主要财务指标</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2.1 主要财务指标</w:t>
      </w:r>
    </w:p>
    <w:p w:rsidR="00B31DA4" w:rsidRPr="00B0184E" w:rsidRDefault="007816A9" w:rsidP="00675A8D">
      <w:pPr>
        <w:spacing w:before="240" w:after="72" w:line="360" w:lineRule="auto"/>
        <w:jc w:val="right"/>
        <w:rPr>
          <w:rFonts w:ascii="方正仿宋简体" w:eastAsia="方正仿宋简体"/>
          <w:sz w:val="24"/>
          <w:szCs w:val="24"/>
        </w:rPr>
      </w:pPr>
      <w:r w:rsidRPr="00B0184E">
        <w:rPr>
          <w:rFonts w:ascii="方正仿宋简体" w:eastAsia="方正仿宋简体" w:hint="eastAsia"/>
          <w:sz w:val="24"/>
          <w:szCs w:val="24"/>
        </w:rPr>
        <w:t>单位：人民币元</w:t>
      </w:r>
    </w:p>
    <w:tbl>
      <w:tblPr>
        <w:tblpPr w:leftFromText="180" w:rightFromText="180" w:vertAnchor="text" w:tblpXSpec="center" w:tblpY="1"/>
        <w:tblOverlap w:val="neve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1838"/>
        <w:gridCol w:w="2693"/>
        <w:gridCol w:w="2410"/>
        <w:gridCol w:w="2126"/>
      </w:tblGrid>
      <w:tr w:rsidR="00B31DA4" w:rsidRPr="00B0184E" w:rsidTr="00E2696A">
        <w:trPr>
          <w:trHeight w:val="699"/>
          <w:jc w:val="center"/>
        </w:trPr>
        <w:tc>
          <w:tcPr>
            <w:tcW w:w="1838" w:type="dxa"/>
            <w:vMerge w:val="restart"/>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内部销售代码</w:t>
            </w:r>
          </w:p>
        </w:tc>
        <w:tc>
          <w:tcPr>
            <w:tcW w:w="7229" w:type="dxa"/>
            <w:gridSpan w:val="3"/>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报告期（2023年04月01日 - 2023年06月30日）</w:t>
            </w:r>
          </w:p>
        </w:tc>
      </w:tr>
      <w:tr w:rsidR="00B31DA4" w:rsidRPr="00B0184E" w:rsidTr="00E2696A">
        <w:trPr>
          <w:trHeight w:val="1697"/>
          <w:jc w:val="center"/>
        </w:trPr>
        <w:tc>
          <w:tcPr>
            <w:tcW w:w="1838" w:type="dxa"/>
            <w:vMerge/>
            <w:vAlign w:val="center"/>
          </w:tcPr>
          <w:p w:rsidR="00B31DA4" w:rsidRPr="00B0184E" w:rsidRDefault="00B31DA4" w:rsidP="00E80B2A">
            <w:pPr>
              <w:spacing w:beforeLines="20" w:before="48" w:afterLines="20" w:after="48"/>
              <w:jc w:val="center"/>
              <w:rPr>
                <w:rFonts w:ascii="方正仿宋简体" w:eastAsia="方正仿宋简体"/>
                <w:sz w:val="24"/>
                <w:szCs w:val="24"/>
              </w:rPr>
            </w:pPr>
          </w:p>
        </w:tc>
        <w:tc>
          <w:tcPr>
            <w:tcW w:w="2693"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1.期末产品最后一个市场交易</w:t>
            </w:r>
            <w:proofErr w:type="gramStart"/>
            <w:r w:rsidRPr="00B0184E">
              <w:rPr>
                <w:rFonts w:ascii="方正仿宋简体" w:eastAsia="方正仿宋简体" w:hint="eastAsia"/>
                <w:sz w:val="24"/>
                <w:szCs w:val="24"/>
              </w:rPr>
              <w:t>日资产</w:t>
            </w:r>
            <w:proofErr w:type="gramEnd"/>
            <w:r w:rsidRPr="00B0184E">
              <w:rPr>
                <w:rFonts w:ascii="方正仿宋简体" w:eastAsia="方正仿宋简体" w:hint="eastAsia"/>
                <w:sz w:val="24"/>
                <w:szCs w:val="24"/>
              </w:rPr>
              <w:t>净值</w:t>
            </w:r>
          </w:p>
        </w:tc>
        <w:tc>
          <w:tcPr>
            <w:tcW w:w="2410"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2.期末产品最后一个市场交易日份额净值</w:t>
            </w:r>
          </w:p>
        </w:tc>
        <w:tc>
          <w:tcPr>
            <w:tcW w:w="2126"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3.期末产品最后一个市场交易日份额累计净值</w:t>
            </w:r>
          </w:p>
        </w:tc>
      </w:tr>
      <w:tr>
        <w:trPr>
          <w:trHeight w:val="565"/>
          <w:jc w:val="center"/>
        </w:trPr>
        <w:tc>
          <w:tcPr>
            <w:tcW w:w="183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Y60009</w:t>
            </w:r>
          </w:p>
        </w:tc>
        <w:tc>
          <w:tcPr>
            <w:tcW w:w="269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9,549,796.74</w:t>
            </w:r>
          </w:p>
        </w:tc>
        <w:tc>
          <w:tcPr>
            <w:tcW w:w="241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1.0169</w:t>
            </w:r>
          </w:p>
        </w:tc>
        <w:tc>
          <w:tcPr>
            <w:tcW w:w="212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1.0169</w:t>
            </w:r>
          </w:p>
        </w:tc>
      </w:tr>
      <w:tr>
        <w:trPr>
          <w:trHeight w:val="565"/>
          <w:jc w:val="center"/>
        </w:trPr>
        <w:tc>
          <w:tcPr>
            <w:tcW w:w="183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Y61009</w:t>
            </w:r>
          </w:p>
        </w:tc>
        <w:tc>
          <w:tcPr>
            <w:tcW w:w="269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208,702,609.62</w:t>
            </w:r>
          </w:p>
        </w:tc>
        <w:tc>
          <w:tcPr>
            <w:tcW w:w="241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1.0177</w:t>
            </w:r>
          </w:p>
        </w:tc>
        <w:tc>
          <w:tcPr>
            <w:tcW w:w="212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1.0177</w:t>
            </w:r>
          </w:p>
        </w:tc>
      </w:tr>
      <w:tr>
        <w:trPr>
          <w:trHeight w:val="565"/>
          <w:jc w:val="center"/>
        </w:trPr>
        <w:tc>
          <w:tcPr>
            <w:tcW w:w="183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Y62009</w:t>
            </w:r>
          </w:p>
        </w:tc>
        <w:tc>
          <w:tcPr>
            <w:tcW w:w="269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253,331,556.52</w:t>
            </w:r>
          </w:p>
        </w:tc>
        <w:tc>
          <w:tcPr>
            <w:tcW w:w="241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1.0185</w:t>
            </w:r>
          </w:p>
        </w:tc>
        <w:tc>
          <w:tcPr>
            <w:tcW w:w="212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1.0185</w:t>
            </w:r>
          </w:p>
        </w:tc>
      </w:tr>
    </w:tbl>
    <w:p w:rsidR="00B31DA4" w:rsidRPr="00B0184E" w:rsidRDefault="007816A9" w:rsidP="00675A8D">
      <w:pPr>
        <w:pStyle w:val="biaogeleft"/>
        <w:spacing w:before="240" w:after="72" w:line="360" w:lineRule="auto"/>
        <w:ind w:left="0"/>
        <w:rPr>
          <w:rFonts w:ascii="方正仿宋简体" w:eastAsia="方正仿宋简体" w:hAnsi="Times New Roman" w:cs="Times New Roman"/>
          <w:kern w:val="2"/>
        </w:rPr>
      </w:pPr>
      <w:r w:rsidRPr="00B0184E">
        <w:rPr>
          <w:rFonts w:ascii="方正仿宋简体" w:eastAsia="方正仿宋简体" w:hAnsi="Times New Roman" w:cs="Times New Roman" w:hint="eastAsia"/>
          <w:kern w:val="2"/>
        </w:rPr>
        <w:t>注：产品净值可能存在未扣除管理人及投资合作机构业绩报酬、赎回费等费用（如有）的情况，实际收益以兑付为准。</w:t>
      </w:r>
    </w:p>
    <w:p w:rsidR="00B31DA4" w:rsidRDefault="00B31DA4" w:rsidP="00675A8D">
      <w:pPr>
        <w:spacing w:before="240" w:after="72" w:line="360" w:lineRule="auto"/>
        <w:rPr>
          <w:rFonts w:ascii="方正仿宋_GBK" w:eastAsia="方正仿宋_GBK"/>
          <w:sz w:val="24"/>
          <w:szCs w:val="24"/>
        </w:rPr>
      </w:pP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§3  管理人报告</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3.1 报告期内产品的投资策略和运作分析</w:t>
      </w:r>
    </w:p>
    <w:p w:rsidR="00B31DA4" w:rsidRPr="00B0184E" w:rsidRDefault="007816A9" w:rsidP="00675A8D">
      <w:pPr>
        <w:spacing w:before="240" w:after="72" w:line="360" w:lineRule="auto"/>
        <w:rPr>
          <w:rFonts w:ascii="方正仿宋简体" w:eastAsia="方正仿宋简体"/>
          <w:sz w:val="24"/>
          <w:szCs w:val="24"/>
        </w:rPr>
      </w:pPr>
      <w:r>
        <w:rPr>
          <w:rFonts w:ascii="方正仿宋简体" w:eastAsia="方正仿宋简体" w:hint="eastAsia"/>
          <w:sz w:val="24"/>
          <w:szCs w:val="24"/>
        </w:rPr>
        <w:t>    二季度期间高频经济数据边际回落，30城商品房销售增速再度走弱，PMI数据转向低于荣枯线，市场对经济复苏力度的分歧再度加大。从供需两端看：二季度期间债券需求依然较强，多家银行下调存款利率，息差空间打开后债市引入增量资金，央行超预期下调OMO操作利率也一度点燃做多热情。而从供给端看，二季度债券供给仍相对清淡。供需支撑下，二季度期间债市总体延续上涨走势，直至季末在止盈诉求及资金面波动叠加下迎来阶段性回调。</w:t>
        <w:br w:type="textWrapping" w:clear="all"/>
      </w:r>
      <w:r>
        <w:rPr>
          <w:rFonts w:ascii="方正仿宋简体" w:eastAsia="方正仿宋简体" w:hint="eastAsia"/>
          <w:sz w:val="24"/>
          <w:szCs w:val="24"/>
        </w:rPr>
        <w:t xml:space="preserve">    往后看，债市将步入政策观察期，短期料将维持震荡走势。在经历一二季度持续上涨后，债券收益率下行空间已有一定压缩。此外，在宽货币提前兑现后，市场关注点也转向信用端政策接力，债市将持续面临政策端的信息扰动。但在地产政策保持定力下，市场持续关注能否有替代地产的新增有效信用载体出现，债券收益率调整同样受到制约。</w:t>
        <w:br w:type="textWrapping" w:clear="all"/>
      </w:r>
      <w:r>
        <w:rPr>
          <w:rFonts w:ascii="方正仿宋简体" w:eastAsia="方正仿宋简体" w:hint="eastAsia"/>
          <w:sz w:val="24"/>
          <w:szCs w:val="24"/>
        </w:rPr>
        <w:t xml:space="preserve">    今年二季度产品操作稳健略偏积极，在债券估值性价比较高的时点，积极寻找个券配置机会，提升组合静态。同时，在资金宽松的环境里适当运用杠杆增厚收益。市场机会把握方面，积极关注中长期利率品、银行资本补充工具的投资机会，以期为组合提供资本利得回报。下一阶段，产品将继续围绕稳健回报的收益目标进行操作，审慎精选票息品种，久期转向偏中性水平，同时做好市场走势的跟踪与研判，挖掘潜在投资机会。</w:t>
      </w: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3.2 报告期内产品的流动性风险分析</w:t>
      </w:r>
    </w:p>
    <w:p w:rsidR="00B31DA4" w:rsidRPr="00B0184E" w:rsidRDefault="007816A9" w:rsidP="00675A8D">
      <w:pPr>
        <w:spacing w:before="240" w:after="72" w:line="360" w:lineRule="auto"/>
        <w:rPr>
          <w:rFonts w:ascii="方正仿宋简体" w:eastAsia="方正仿宋简体"/>
          <w:sz w:val="24"/>
          <w:szCs w:val="24"/>
        </w:rPr>
      </w:pPr>
      <w:r w:rsidRPr="00B0184E">
        <w:rPr>
          <w:rFonts w:ascii="方正仿宋简体" w:eastAsia="方正仿宋简体"/>
          <w:sz w:val="24"/>
          <w:szCs w:val="24"/>
        </w:rPr>
        <w:t/>
      </w:r>
      <w:proofErr w:type="spellStart"/>
      <w:r w:rsidRPr="00B0184E">
        <w:rPr>
          <w:rFonts w:ascii="方正仿宋简体" w:eastAsia="方正仿宋简体"/>
          <w:sz w:val="24"/>
          <w:szCs w:val="24"/>
        </w:rPr>
        <w:t/>
      </w:r>
      <w:proofErr w:type="spellEnd"/>
      <w:r w:rsidRPr="00B0184E">
        <w:rPr>
          <w:rFonts w:ascii="方正仿宋简体" w:eastAsia="方正仿宋简体"/>
          <w:sz w:val="24"/>
          <w:szCs w:val="24"/>
        </w:rPr>
        <w:t>    今年二季度以来，资金环境整体维持平稳，产品始终维持了合理的流动性资产仓位。下阶段产品将继续保持稳健的投资风格，在风险可控的前提下灵活运用杠杆，合理排布融资期限。同时关注市场各关键时点资金波动情况，做好流动性预判和资产到期分布安排，提前做好应对方案，防范流动性风险。</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3.3 报告期内产品的业绩表现</w:t>
      </w:r>
    </w:p>
    <w:p w:rsidR="00B31DA4" w:rsidRPr="00B0184E" w:rsidRDefault="007816A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截至报告期末，本产品Y60009份额净值为1.0169元，Y61009份额净值为1.0177元，Y62009份额净值为1.0185元。</w:t>
      </w:r>
    </w:p>
    <w:p w:rsidR="00B31DA4" w:rsidRDefault="00B31DA4" w:rsidP="00675A8D">
      <w:pPr>
        <w:spacing w:before="240" w:after="72" w:line="360" w:lineRule="auto"/>
        <w:rPr>
          <w:rFonts w:ascii="方正仿宋_GBK" w:eastAsia="方正仿宋_GBK" w:hAnsi="宋体"/>
          <w:sz w:val="24"/>
          <w:szCs w:val="24"/>
        </w:rPr>
      </w:pP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§4  投资组合报告</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4.1 报告期末产品资产组合情况</w:t>
      </w:r>
    </w:p>
    <w:tbl>
      <w:tblPr>
        <w:tblpPr w:leftFromText="180" w:rightFromText="180" w:vertAnchor="text" w:tblpXSpec="center" w:tblpY="1"/>
        <w:tblOverlap w:val="never"/>
        <w:tblW w:w="8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745"/>
        <w:gridCol w:w="1859"/>
        <w:gridCol w:w="3002"/>
        <w:gridCol w:w="3289"/>
      </w:tblGrid>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序号</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资产类别</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proofErr w:type="gramStart"/>
            <w:r w:rsidRPr="00B0184E">
              <w:rPr>
                <w:rFonts w:ascii="方正仿宋简体" w:eastAsia="方正仿宋简体" w:hint="eastAsia"/>
                <w:sz w:val="24"/>
                <w:szCs w:val="24"/>
              </w:rPr>
              <w:t>穿透前占总</w:t>
            </w:r>
            <w:proofErr w:type="gramEnd"/>
            <w:r w:rsidRPr="00B0184E">
              <w:rPr>
                <w:rFonts w:ascii="方正仿宋简体" w:eastAsia="方正仿宋简体" w:hint="eastAsia"/>
                <w:sz w:val="24"/>
                <w:szCs w:val="24"/>
              </w:rPr>
              <w:t>资产比例</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穿透后占总资产比例</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lastRenderedPageBreak/>
              <w:t>1</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固定收益类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100.00%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100.00%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2</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权益类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3</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商品及金融衍生品类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4</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混合类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5</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合计</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100.00%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100.00%</w:t>
            </w:r>
          </w:p>
        </w:tc>
      </w:tr>
    </w:tbl>
    <w:p w:rsidR="00B31DA4" w:rsidRPr="00A21516" w:rsidRDefault="00B31DA4" w:rsidP="00675A8D">
      <w:pPr>
        <w:spacing w:before="240" w:after="72" w:line="360" w:lineRule="auto"/>
        <w:rPr>
          <w:rFonts w:ascii="方正仿宋_GBK" w:eastAsia="方正仿宋_GBK"/>
          <w:sz w:val="24"/>
          <w:szCs w:val="24"/>
        </w:rPr>
      </w:pP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4.2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750"/>
        <w:gridCol w:w="1581"/>
        <w:gridCol w:w="2712"/>
        <w:gridCol w:w="2052"/>
        <w:gridCol w:w="1807"/>
      </w:tblGrid>
      <w:tr w:rsidR="00B31DA4" w:rsidTr="0031044B">
        <w:trPr>
          <w:trHeight w:val="1233"/>
          <w:jc w:val="center"/>
        </w:trPr>
        <w:tc>
          <w:tcPr>
            <w:tcW w:w="751"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序号</w:t>
            </w:r>
          </w:p>
        </w:tc>
        <w:tc>
          <w:tcPr>
            <w:tcW w:w="1585"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代码</w:t>
            </w:r>
          </w:p>
        </w:tc>
        <w:tc>
          <w:tcPr>
            <w:tcW w:w="2720"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名称</w:t>
            </w:r>
          </w:p>
        </w:tc>
        <w:tc>
          <w:tcPr>
            <w:tcW w:w="2058"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公允价值（元）</w:t>
            </w:r>
          </w:p>
        </w:tc>
        <w:tc>
          <w:tcPr>
            <w:tcW w:w="1812"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占产品资产净值比例（％）</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ZJQTT202302070001</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创金合信鑫稳2号单一资产管理计划</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152,340,000.00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32.30</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23880347</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23沿江开发01</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116,000,000.00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24.60</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23880308</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23海陵城发01</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104,000,000.00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22.05</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162578</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19柯岩01</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20,188,445.84</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4.28</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133156</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21金龙02</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19,769,881.64</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4.19</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ZZGJT202007150001</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中融基金-鑫福1号集合资产管理计划</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12,383,097.91</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2.63</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7</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197907</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21扬易01</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9,956,132.20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2.11</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8</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196040</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21溧源03</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9,889,494.32</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2.10</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9</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196410</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22绿投01</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9,844,770.47</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2.09</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196342</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22运和01</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9,795,935.85</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2.08</w:t>
            </w:r>
          </w:p>
        </w:tc>
      </w:tr>
    </w:tbl>
    <w:p w:rsidR="00B31DA4" w:rsidRDefault="00B31DA4" w:rsidP="00675A8D">
      <w:pPr>
        <w:spacing w:before="240" w:after="72" w:line="360" w:lineRule="auto"/>
        <w:rPr>
          <w:rFonts w:ascii="方正仿宋_GBK" w:eastAsia="方正仿宋_GBK" w:hAnsi="宋体" w:cs="宋体"/>
          <w:sz w:val="24"/>
          <w:szCs w:val="24"/>
          <w:shd w:val="clear" w:color="auto" w:fill="FFFFFF"/>
        </w:rPr>
      </w:pP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4.3报告期末非标准化债权类资产明细</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877"/>
        <w:gridCol w:w="1704"/>
        <w:gridCol w:w="1275"/>
        <w:gridCol w:w="1540"/>
        <w:gridCol w:w="1383"/>
        <w:gridCol w:w="1271"/>
        <w:gridCol w:w="876"/>
      </w:tblGrid>
      <w:tr w:rsidR="00B31DA4" w:rsidTr="007816A9">
        <w:trPr>
          <w:trHeight w:val="1078"/>
          <w:jc w:val="center"/>
        </w:trPr>
        <w:tc>
          <w:tcPr>
            <w:tcW w:w="877"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序号</w:t>
            </w:r>
          </w:p>
        </w:tc>
        <w:tc>
          <w:tcPr>
            <w:tcW w:w="1704"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融资客户</w:t>
            </w:r>
          </w:p>
        </w:tc>
        <w:tc>
          <w:tcPr>
            <w:tcW w:w="1275"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项目名称</w:t>
            </w:r>
          </w:p>
        </w:tc>
        <w:tc>
          <w:tcPr>
            <w:tcW w:w="1540"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剩余融资期限（</w:t>
            </w:r>
            <w:r w:rsidRPr="00B0184E">
              <w:rPr>
                <w:rFonts w:ascii="方正仿宋简体" w:eastAsia="方正仿宋简体"/>
                <w:sz w:val="24"/>
                <w:szCs w:val="24"/>
              </w:rPr>
              <w:t>天）</w:t>
            </w:r>
          </w:p>
        </w:tc>
        <w:tc>
          <w:tcPr>
            <w:tcW w:w="1383"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到期收益分配</w:t>
            </w:r>
          </w:p>
        </w:tc>
        <w:tc>
          <w:tcPr>
            <w:tcW w:w="1271"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交易结构</w:t>
            </w:r>
          </w:p>
        </w:tc>
        <w:tc>
          <w:tcPr>
            <w:tcW w:w="876"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风险状况</w:t>
            </w:r>
          </w:p>
        </w:tc>
      </w:tr>
      <w:tr>
        <w:trPr>
          <w:trHeight w:val="571"/>
          <w:jc w:val="center"/>
        </w:trPr>
        <w:tc>
          <w:tcPr>
            <w:tcW w:w="87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泰州海陵城市发展集团有限公司</w:t>
            </w:r>
          </w:p>
        </w:tc>
        <w:tc>
          <w:tcPr>
            <w:tcW w:w="1275"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23海陵城发01</w:t>
            </w:r>
          </w:p>
        </w:tc>
        <w:tc>
          <w:tcPr>
            <w:tcW w:w="154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585</w:t>
            </w:r>
          </w:p>
        </w:tc>
        <w:tc>
          <w:tcPr>
            <w:tcW w:w="13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按年付息，到期还本</w:t>
            </w:r>
          </w:p>
        </w:tc>
        <w:tc>
          <w:tcPr>
            <w:tcW w:w="1271"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理财直接融资工具</w:t>
            </w:r>
          </w:p>
        </w:tc>
        <w:tc>
          <w:tcPr>
            <w:tcW w:w="87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jc w:val="center"/>
        </w:trPr>
        <w:tc>
          <w:tcPr>
            <w:tcW w:w="87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704"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扬州市江都沿江开发有限公司</w:t>
            </w:r>
          </w:p>
        </w:tc>
        <w:tc>
          <w:tcPr>
            <w:tcW w:w="1275"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23沿江开发01</w:t>
            </w:r>
          </w:p>
        </w:tc>
        <w:tc>
          <w:tcPr>
            <w:tcW w:w="154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598</w:t>
            </w:r>
          </w:p>
        </w:tc>
        <w:tc>
          <w:tcPr>
            <w:tcW w:w="13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按年付息，到期还本</w:t>
            </w:r>
          </w:p>
        </w:tc>
        <w:tc>
          <w:tcPr>
            <w:tcW w:w="1271"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理财直接融资工具</w:t>
            </w:r>
          </w:p>
        </w:tc>
        <w:tc>
          <w:tcPr>
            <w:tcW w:w="87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B31DA4" w:rsidRDefault="00B31DA4" w:rsidP="00675A8D">
      <w:pPr>
        <w:spacing w:before="240" w:after="72" w:line="360" w:lineRule="auto"/>
        <w:rPr>
          <w:rFonts w:ascii="方正仿宋_GBK" w:eastAsia="方正仿宋_GBK" w:hAnsi="宋体" w:cs="宋体"/>
          <w:sz w:val="24"/>
          <w:szCs w:val="24"/>
          <w:shd w:val="clear" w:color="auto" w:fill="FFFFFF"/>
        </w:rPr>
      </w:pP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§5 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846"/>
        <w:gridCol w:w="1417"/>
        <w:gridCol w:w="2668"/>
        <w:gridCol w:w="1983"/>
        <w:gridCol w:w="1988"/>
      </w:tblGrid>
      <w:tr w:rsidR="000532CC" w:rsidTr="00531855">
        <w:trPr>
          <w:trHeight w:val="584"/>
          <w:jc w:val="center"/>
        </w:trPr>
        <w:tc>
          <w:tcPr>
            <w:tcW w:w="846"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序号</w:t>
            </w:r>
          </w:p>
        </w:tc>
        <w:tc>
          <w:tcPr>
            <w:tcW w:w="1417"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账户类型</w:t>
            </w:r>
          </w:p>
        </w:tc>
        <w:tc>
          <w:tcPr>
            <w:tcW w:w="2668"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账号</w:t>
            </w:r>
          </w:p>
        </w:tc>
        <w:tc>
          <w:tcPr>
            <w:tcW w:w="1983"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账户名称</w:t>
            </w:r>
          </w:p>
        </w:tc>
        <w:tc>
          <w:tcPr>
            <w:tcW w:w="1988"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开户单位</w:t>
            </w:r>
          </w:p>
        </w:tc>
      </w:tr>
      <w:tr>
        <w:trPr>
          <w:trHeight w:val="584"/>
          <w:jc w:val="center"/>
        </w:trPr>
        <w:tc>
          <w:tcPr>
            <w:tcW w:w="84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0120030000001048</w:t>
            </w:r>
          </w:p>
        </w:tc>
        <w:tc>
          <w:tcPr>
            <w:tcW w:w="19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南银理财鑫逸稳两年9期</w:t>
            </w:r>
          </w:p>
        </w:tc>
        <w:tc>
          <w:tcPr>
            <w:tcW w:w="198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rsidR="00B31DA4" w:rsidRDefault="00B31DA4" w:rsidP="0068509B">
      <w:pPr>
        <w:spacing w:afterLines="0" w:line="360" w:lineRule="auto"/>
        <w:rPr>
          <w:rFonts w:ascii="方正仿宋_GBK" w:eastAsia="方正仿宋_GBK"/>
          <w:sz w:val="24"/>
          <w:szCs w:val="24"/>
        </w:rPr>
      </w:pPr>
    </w:p>
    <w:p w:rsidR="00675A8D" w:rsidRDefault="00675A8D" w:rsidP="00675A8D">
      <w:pPr>
        <w:spacing w:before="240" w:after="72" w:line="360" w:lineRule="auto"/>
        <w:jc w:val="center"/>
        <w:rPr>
          <w:rFonts w:ascii="方正仿宋_GBK" w:eastAsia="方正仿宋_GBK"/>
          <w:b/>
          <w:sz w:val="24"/>
          <w:szCs w:val="24"/>
        </w:rPr>
      </w:pPr>
    </w:p>
    <w:p w:rsidR="00B31DA4" w:rsidRPr="00B0184E" w:rsidRDefault="007816A9" w:rsidP="00675A8D">
      <w:pPr>
        <w:spacing w:before="240" w:after="72" w:line="360" w:lineRule="auto"/>
        <w:jc w:val="center"/>
        <w:rPr>
          <w:rFonts w:ascii="方正仿宋简体" w:eastAsia="方正仿宋简体"/>
          <w:b/>
          <w:sz w:val="24"/>
          <w:szCs w:val="24"/>
        </w:rPr>
      </w:pPr>
      <w:bookmarkStart w:id="0" w:name="_GoBack"/>
      <w:r w:rsidRPr="00B0184E">
        <w:rPr>
          <w:rFonts w:ascii="方正仿宋简体" w:eastAsia="方正仿宋简体" w:hint="eastAsia"/>
          <w:b/>
          <w:sz w:val="24"/>
          <w:szCs w:val="24"/>
        </w:rPr>
        <w:t>§6 关联交易情况</w:t>
      </w:r>
    </w:p>
    <w:bookmarkEnd w:id="0"/>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报告期内，产品投资于关联</w:t>
      </w:r>
      <w:proofErr w:type="gramStart"/>
      <w:r w:rsidRPr="00B0184E">
        <w:rPr>
          <w:rFonts w:ascii="方正仿宋简体" w:eastAsia="方正仿宋简体" w:hint="eastAsia"/>
          <w:sz w:val="24"/>
          <w:szCs w:val="24"/>
        </w:rPr>
        <w:t>方发行</w:t>
      </w:r>
      <w:proofErr w:type="gramEnd"/>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的证券、关联方作为融资人的非标准化债权类资产业务交易金额0.00元。</w:t>
      </w:r>
    </w:p>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产品投资于关联方承销的证券交易金额0.00元。</w:t>
      </w:r>
    </w:p>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产品与关联方作为交易对手开展的投融资业务交易金额0.00元。</w:t>
      </w:r>
    </w:p>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产品投资关联方作为管理人的资产管理产品交易金额0.00元。</w:t>
      </w:r>
    </w:p>
    <w:p w:rsidR="004601C9" w:rsidRPr="00B0184E" w:rsidRDefault="00DD2B26"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产品</w:t>
      </w:r>
      <w:r w:rsidR="004601C9" w:rsidRPr="00B0184E">
        <w:rPr>
          <w:rFonts w:ascii="方正仿宋简体" w:eastAsia="方正仿宋简体" w:hint="eastAsia"/>
          <w:sz w:val="24"/>
          <w:szCs w:val="24"/>
        </w:rPr>
        <w:t/>
      </w:r>
      <w:proofErr w:type="spellStart"/>
      <w:r w:rsidR="004601C9" w:rsidRPr="00B0184E">
        <w:rPr>
          <w:rFonts w:ascii="方正仿宋简体" w:eastAsia="方正仿宋简体" w:hint="eastAsia"/>
          <w:sz w:val="24"/>
          <w:szCs w:val="24"/>
        </w:rPr>
        <w:t/>
      </w:r>
      <w:proofErr w:type="spellEnd"/>
      <w:r w:rsidR="004601C9" w:rsidRPr="00B0184E">
        <w:rPr>
          <w:rFonts w:ascii="方正仿宋简体" w:eastAsia="方正仿宋简体" w:hint="eastAsia"/>
          <w:sz w:val="24"/>
          <w:szCs w:val="24"/>
        </w:rPr>
        <w:t>支付关联方托管费0.00</w:t>
      </w:r>
      <w:r w:rsidRPr="00B0184E">
        <w:rPr>
          <w:rFonts w:ascii="方正仿宋简体" w:eastAsia="方正仿宋简体" w:hint="eastAsia"/>
          <w:sz w:val="24"/>
          <w:szCs w:val="24"/>
        </w:rPr>
        <w:t>元，</w:t>
      </w:r>
      <w:r w:rsidR="004601C9" w:rsidRPr="00B0184E">
        <w:rPr>
          <w:rFonts w:ascii="方正仿宋简体" w:eastAsia="方正仿宋简体" w:hint="eastAsia"/>
          <w:sz w:val="24"/>
          <w:szCs w:val="24"/>
        </w:rPr>
        <w:t>支付关联方代销费</w:t>
      </w:r>
      <w:r w:rsidR="00735F94" w:rsidRPr="00B0184E">
        <w:rPr>
          <w:rFonts w:ascii="方正仿宋简体" w:eastAsia="方正仿宋简体" w:hint="eastAsia"/>
          <w:sz w:val="24"/>
          <w:szCs w:val="24"/>
        </w:rPr>
        <w:t/>
      </w:r>
      <w:proofErr w:type="spellStart"/>
      <w:r w:rsidR="00735F94" w:rsidRPr="00B0184E">
        <w:rPr>
          <w:rFonts w:ascii="方正仿宋简体" w:eastAsia="方正仿宋简体" w:hint="eastAsia"/>
          <w:sz w:val="24"/>
          <w:szCs w:val="24"/>
        </w:rPr>
        <w:t/>
      </w:r>
      <w:proofErr w:type="spellEnd"/>
      <w:r w:rsidR="00735F94" w:rsidRPr="00B0184E">
        <w:rPr>
          <w:rFonts w:ascii="方正仿宋简体" w:eastAsia="方正仿宋简体" w:hint="eastAsia"/>
          <w:sz w:val="24"/>
          <w:szCs w:val="24"/>
        </w:rPr>
        <w:t>0.00</w:t>
      </w:r>
      <w:r w:rsidR="004601C9" w:rsidRPr="00B0184E">
        <w:rPr>
          <w:rFonts w:ascii="方正仿宋简体" w:eastAsia="方正仿宋简体" w:hint="eastAsia"/>
          <w:sz w:val="24"/>
          <w:szCs w:val="24"/>
        </w:rPr>
        <w:t>元。</w:t>
      </w:r>
    </w:p>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产品发生其他关联交易金额0.00元。</w:t>
      </w:r>
    </w:p>
    <w:p w:rsidR="00B31DA4"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lastRenderedPageBreak/>
        <w:t>报告期内，产品未发生重大关联交易。</w:t>
      </w:r>
    </w:p>
    <w:p w:rsidR="00B31DA4" w:rsidRDefault="00B31DA4" w:rsidP="00675A8D">
      <w:pPr>
        <w:spacing w:before="240" w:after="72" w:line="360" w:lineRule="auto"/>
        <w:rPr>
          <w:rFonts w:ascii="方正仿宋_GBK" w:eastAsia="方正仿宋_GBK" w:hAnsi="宋体" w:cs="宋体"/>
          <w:kern w:val="0"/>
          <w:sz w:val="24"/>
          <w:szCs w:val="24"/>
        </w:rPr>
      </w:pPr>
    </w:p>
    <w:p w:rsidR="00B31DA4" w:rsidRDefault="00B31DA4" w:rsidP="00675A8D">
      <w:pPr>
        <w:spacing w:before="240" w:after="72" w:line="360" w:lineRule="auto"/>
        <w:rPr>
          <w:rFonts w:ascii="方正仿宋_GBK" w:eastAsia="方正仿宋_GBK" w:hAnsi="宋体" w:cs="宋体"/>
          <w:kern w:val="0"/>
          <w:sz w:val="24"/>
          <w:szCs w:val="24"/>
        </w:rPr>
      </w:pPr>
    </w:p>
    <w:p w:rsidR="00B31DA4" w:rsidRDefault="00B31DA4" w:rsidP="00675A8D">
      <w:pPr>
        <w:spacing w:before="240" w:after="72" w:line="360" w:lineRule="auto"/>
        <w:jc w:val="right"/>
        <w:rPr>
          <w:rFonts w:ascii="方正仿宋_GBK" w:eastAsia="方正仿宋_GBK"/>
          <w:b/>
          <w:sz w:val="24"/>
          <w:szCs w:val="24"/>
        </w:rPr>
      </w:pPr>
    </w:p>
    <w:p w:rsidR="00B31DA4" w:rsidRPr="00B0184E" w:rsidRDefault="007816A9" w:rsidP="00675A8D">
      <w:pPr>
        <w:spacing w:before="240" w:after="72" w:line="360" w:lineRule="auto"/>
        <w:jc w:val="right"/>
        <w:rPr>
          <w:rFonts w:ascii="方正仿宋简体" w:eastAsia="方正仿宋简体"/>
          <w:b/>
          <w:sz w:val="24"/>
          <w:szCs w:val="24"/>
        </w:rPr>
      </w:pPr>
      <w:r w:rsidRPr="00B0184E">
        <w:rPr>
          <w:rFonts w:ascii="方正仿宋简体" w:eastAsia="方正仿宋简体" w:hint="eastAsia"/>
          <w:b/>
          <w:sz w:val="24"/>
          <w:szCs w:val="24"/>
        </w:rPr>
        <w:t/>
      </w:r>
      <w:proofErr w:type="spellStart"/>
      <w:r w:rsidRPr="00B0184E">
        <w:rPr>
          <w:rFonts w:ascii="方正仿宋简体" w:eastAsia="方正仿宋简体" w:hint="eastAsia"/>
          <w:b/>
          <w:sz w:val="24"/>
          <w:szCs w:val="24"/>
        </w:rPr>
        <w:t/>
      </w:r>
      <w:proofErr w:type="spellEnd"/>
      <w:r w:rsidRPr="00B0184E">
        <w:rPr>
          <w:rFonts w:ascii="方正仿宋简体" w:eastAsia="方正仿宋简体" w:hint="eastAsia"/>
          <w:b/>
          <w:sz w:val="24"/>
          <w:szCs w:val="24"/>
        </w:rPr>
        <w:t>南银理财有限责任公司</w:t>
      </w:r>
    </w:p>
    <w:p w:rsidR="00B31DA4" w:rsidRPr="00B0184E" w:rsidRDefault="007816A9" w:rsidP="00675A8D">
      <w:pPr>
        <w:spacing w:before="240" w:after="72" w:line="360" w:lineRule="auto"/>
        <w:jc w:val="right"/>
        <w:rPr>
          <w:rFonts w:ascii="方正仿宋简体" w:eastAsia="方正仿宋简体"/>
          <w:b/>
          <w:sz w:val="24"/>
          <w:szCs w:val="24"/>
        </w:rPr>
      </w:pPr>
      <w:r w:rsidRPr="00B0184E">
        <w:rPr>
          <w:rFonts w:ascii="方正仿宋简体" w:eastAsia="方正仿宋简体" w:hint="eastAsia"/>
          <w:b/>
          <w:sz w:val="24"/>
          <w:szCs w:val="24"/>
        </w:rPr>
        <w:t/>
      </w:r>
      <w:proofErr w:type="spellStart"/>
      <w:r w:rsidRPr="00B0184E">
        <w:rPr>
          <w:rFonts w:ascii="方正仿宋简体" w:eastAsia="方正仿宋简体" w:hint="eastAsia"/>
          <w:b/>
          <w:sz w:val="24"/>
          <w:szCs w:val="24"/>
        </w:rPr>
        <w:t/>
      </w:r>
      <w:proofErr w:type="spellEnd"/>
      <w:r w:rsidRPr="00B0184E">
        <w:rPr>
          <w:rFonts w:ascii="方正仿宋简体" w:eastAsia="方正仿宋简体" w:hint="eastAsia"/>
          <w:b/>
          <w:sz w:val="24"/>
          <w:szCs w:val="24"/>
        </w:rPr>
        <w:t>2023年06月30日</w:t>
      </w:r>
    </w:p>
    <w:p w:rsidR="00B31DA4" w:rsidRDefault="00B31DA4" w:rsidP="00675A8D">
      <w:pPr>
        <w:spacing w:before="240" w:after="72" w:line="360" w:lineRule="auto"/>
        <w:rPr>
          <w:rFonts w:ascii="方正仿宋_GBK" w:eastAsia="方正仿宋_GBK"/>
          <w:sz w:val="24"/>
          <w:szCs w:val="24"/>
        </w:rPr>
      </w:pPr>
    </w:p>
    <w:p w:rsidR="00B31DA4" w:rsidRDefault="00B31DA4" w:rsidP="00675A8D">
      <w:pPr>
        <w:spacing w:before="240" w:after="72" w:line="360" w:lineRule="auto"/>
        <w:rPr>
          <w:rFonts w:ascii="方正仿宋_GBK" w:eastAsia="方正仿宋_GBK"/>
          <w:sz w:val="24"/>
          <w:szCs w:val="24"/>
        </w:rPr>
      </w:pPr>
    </w:p>
    <w:sectPr w:rsidR="00B31DA4" w:rsidSect="00FE56AA">
      <w:headerReference w:type="even" r:id="rId7"/>
      <w:headerReference w:type="default" r:id="rId8"/>
      <w:footerReference w:type="even" r:id="rId9"/>
      <w:footerReference w:type="default" r:id="rId10"/>
      <w:headerReference w:type="first" r:id="rId11"/>
      <w:footerReference w:type="first" r:id="rId12"/>
      <w:pgSz w:w="11926" w:h="16867"/>
      <w:pgMar w:top="1418" w:right="1418" w:bottom="853" w:left="1418" w:header="851" w:footer="992" w:gutter="0"/>
      <w:cols w:space="720"/>
      <w:titlePg/>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4285D" w:rsidRDefault="00C4285D">
      <w:pPr>
        <w:spacing w:after="72"/>
      </w:pPr>
      <w:r>
        <w:separator/>
      </w:r>
    </w:p>
  </w:endnote>
  <w:endnote w:type="continuationSeparator" w:id="0">
    <w:p w:rsidR="00C4285D" w:rsidRDefault="00C4285D">
      <w:pPr>
        <w:spacing w:after="7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黑体简体">
    <w:altName w:val="微软雅黑"/>
    <w:charset w:val="86"/>
    <w:family w:val="script"/>
    <w:pitch w:val="fixed"/>
    <w:sig w:usb0="00000001" w:usb1="080E0000" w:usb2="00000010" w:usb3="00000000" w:csb0="00040000" w:csb1="00000000"/>
  </w:font>
  <w:font w:name="方正仿宋简体">
    <w:altName w:val="Arial Unicode MS"/>
    <w:charset w:val="86"/>
    <w:family w:val="script"/>
    <w:pitch w:val="default"/>
    <w:sig w:usb0="00000000" w:usb1="00000000" w:usb2="00000010" w:usb3="00000000" w:csb0="00040000" w:csb1="00000000"/>
  </w:font>
  <w:font w:name="方正仿宋_GBK">
    <w:altName w:val="Arial Unicode MS"/>
    <w:charset w:val="86"/>
    <w:family w:val="script"/>
    <w:pitch w:val="default"/>
    <w:sig w:usb0="00000000" w:usb1="0000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D76555">
    <w:pPr>
      <w:pStyle w:val="a3"/>
      <w:framePr w:wrap="around" w:vAnchor="text" w:hAnchor="margin" w:xAlign="center" w:y="1"/>
      <w:spacing w:after="72"/>
      <w:rPr>
        <w:rStyle w:val="a6"/>
      </w:rPr>
    </w:pPr>
    <w:r>
      <w:fldChar w:fldCharType="begin"/>
    </w:r>
    <w:r w:rsidR="007816A9">
      <w:rPr>
        <w:rStyle w:val="a6"/>
      </w:rPr>
      <w:instrText xml:space="preserve">PAGE  </w:instrText>
    </w:r>
    <w:r>
      <w:fldChar w:fldCharType="end"/>
    </w:r>
  </w:p>
  <w:p w:rsidR="00B31DA4" w:rsidRDefault="00B31DA4">
    <w:pPr>
      <w:pStyle w:val="a3"/>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3"/>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3"/>
      <w:spacing w:after="7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4285D" w:rsidRDefault="00C4285D">
      <w:pPr>
        <w:spacing w:after="72"/>
      </w:pPr>
      <w:r>
        <w:separator/>
      </w:r>
    </w:p>
  </w:footnote>
  <w:footnote w:type="continuationSeparator" w:id="0">
    <w:p w:rsidR="00C4285D" w:rsidRDefault="00C4285D">
      <w:pPr>
        <w:spacing w:after="7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4"/>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4"/>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4"/>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57DD4EC8"/>
    <w:rsid w:val="611546E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docId w15:val="{47B713EE-A110-4569-BB15-FC96424C7F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E56AA"/>
    <w:pPr>
      <w:widowControl w:val="0"/>
      <w:spacing w:afterLines="30"/>
      <w:jc w:val="both"/>
    </w:pPr>
    <w:rPr>
      <w:rFonts w:ascii="Times New Roman" w:eastAsia="宋体" w:hAnsi="Times New Roman"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FE56AA"/>
    <w:pPr>
      <w:tabs>
        <w:tab w:val="center" w:pos="4153"/>
        <w:tab w:val="right" w:pos="8306"/>
      </w:tabs>
      <w:snapToGrid w:val="0"/>
      <w:jc w:val="left"/>
    </w:pPr>
    <w:rPr>
      <w:rFonts w:eastAsiaTheme="minorEastAsia"/>
      <w:sz w:val="18"/>
      <w:szCs w:val="18"/>
    </w:rPr>
  </w:style>
  <w:style w:type="paragraph" w:styleId="a4">
    <w:name w:val="header"/>
    <w:basedOn w:val="a"/>
    <w:link w:val="Char0"/>
    <w:uiPriority w:val="99"/>
    <w:unhideWhenUsed/>
    <w:qFormat/>
    <w:rsid w:val="00FE56AA"/>
    <w:pPr>
      <w:pBdr>
        <w:bottom w:val="single" w:sz="6" w:space="1" w:color="auto"/>
      </w:pBdr>
      <w:tabs>
        <w:tab w:val="center" w:pos="4153"/>
        <w:tab w:val="right" w:pos="8306"/>
      </w:tabs>
      <w:snapToGrid w:val="0"/>
      <w:jc w:val="center"/>
    </w:pPr>
    <w:rPr>
      <w:sz w:val="18"/>
      <w:szCs w:val="18"/>
    </w:rPr>
  </w:style>
  <w:style w:type="paragraph" w:styleId="a5">
    <w:name w:val="Normal (Web)"/>
    <w:basedOn w:val="a"/>
    <w:qFormat/>
    <w:rsid w:val="00FE56AA"/>
    <w:pPr>
      <w:widowControl/>
      <w:spacing w:before="100" w:beforeAutospacing="1" w:after="100" w:afterAutospacing="1"/>
      <w:jc w:val="left"/>
    </w:pPr>
    <w:rPr>
      <w:rFonts w:ascii="宋体" w:hAnsi="宋体"/>
      <w:kern w:val="0"/>
      <w:sz w:val="24"/>
      <w:szCs w:val="24"/>
    </w:rPr>
  </w:style>
  <w:style w:type="character" w:styleId="a6">
    <w:name w:val="page number"/>
    <w:basedOn w:val="a0"/>
    <w:uiPriority w:val="99"/>
    <w:unhideWhenUsed/>
    <w:qFormat/>
    <w:rsid w:val="00FE56AA"/>
  </w:style>
  <w:style w:type="character" w:customStyle="1" w:styleId="Char">
    <w:name w:val="页脚 Char"/>
    <w:link w:val="a3"/>
    <w:uiPriority w:val="99"/>
    <w:qFormat/>
    <w:locked/>
    <w:rsid w:val="00FE56AA"/>
    <w:rPr>
      <w:rFonts w:ascii="Times New Roman" w:hAnsi="Times New Roman" w:cs="Times New Roman"/>
      <w:sz w:val="18"/>
      <w:szCs w:val="18"/>
    </w:rPr>
  </w:style>
  <w:style w:type="character" w:customStyle="1" w:styleId="Char1">
    <w:name w:val="页脚 Char1"/>
    <w:basedOn w:val="a0"/>
    <w:uiPriority w:val="99"/>
    <w:semiHidden/>
    <w:qFormat/>
    <w:rsid w:val="00FE56AA"/>
    <w:rPr>
      <w:rFonts w:ascii="Times New Roman" w:eastAsia="宋体" w:hAnsi="Times New Roman" w:cs="Times New Roman"/>
      <w:sz w:val="18"/>
      <w:szCs w:val="18"/>
    </w:rPr>
  </w:style>
  <w:style w:type="paragraph" w:customStyle="1" w:styleId="biaogeleft">
    <w:name w:val="biaoge_left"/>
    <w:basedOn w:val="a"/>
    <w:qFormat/>
    <w:rsid w:val="00FE56AA"/>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2">
    <w:name w:val="zhangjie_p2"/>
    <w:basedOn w:val="a"/>
    <w:qFormat/>
    <w:rsid w:val="00FE56AA"/>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biaogecenter">
    <w:name w:val="biaoge_center"/>
    <w:basedOn w:val="a"/>
    <w:qFormat/>
    <w:rsid w:val="00FE56AA"/>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dazhangjie">
    <w:name w:val="dazhangjie"/>
    <w:basedOn w:val="a"/>
    <w:qFormat/>
    <w:rsid w:val="00FE56AA"/>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
    <w:name w:val="正文1"/>
    <w:qFormat/>
    <w:rsid w:val="00FE56AA"/>
    <w:pPr>
      <w:jc w:val="both"/>
    </w:pPr>
    <w:rPr>
      <w:rFonts w:ascii="Times New Roman" w:eastAsia="宋体" w:hAnsi="Times New Roman" w:cs="Times New Roman"/>
      <w:kern w:val="2"/>
      <w:sz w:val="21"/>
      <w:szCs w:val="21"/>
    </w:rPr>
  </w:style>
  <w:style w:type="paragraph" w:customStyle="1" w:styleId="biaogeright">
    <w:name w:val="biaoge_right"/>
    <w:basedOn w:val="a"/>
    <w:qFormat/>
    <w:rsid w:val="00FE56AA"/>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neirong">
    <w:name w:val="neirong"/>
    <w:basedOn w:val="a"/>
    <w:qFormat/>
    <w:rsid w:val="00FE56AA"/>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
    <w:name w:val="zhangjie_p"/>
    <w:basedOn w:val="a"/>
    <w:qFormat/>
    <w:rsid w:val="00FE56AA"/>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Default">
    <w:name w:val="Default"/>
    <w:qFormat/>
    <w:rsid w:val="00FE56AA"/>
    <w:pPr>
      <w:widowControl w:val="0"/>
      <w:autoSpaceDE w:val="0"/>
      <w:autoSpaceDN w:val="0"/>
      <w:adjustRightInd w:val="0"/>
    </w:pPr>
    <w:rPr>
      <w:rFonts w:ascii="宋体" w:eastAsia="宋体" w:hAnsi="Times New Roman" w:cs="宋体"/>
      <w:color w:val="000000"/>
      <w:sz w:val="24"/>
      <w:szCs w:val="24"/>
    </w:rPr>
  </w:style>
  <w:style w:type="character" w:customStyle="1" w:styleId="Char0">
    <w:name w:val="页眉 Char"/>
    <w:basedOn w:val="a0"/>
    <w:link w:val="a4"/>
    <w:uiPriority w:val="99"/>
    <w:qFormat/>
    <w:rsid w:val="00FE56AA"/>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footer2.xml" Type="http://schemas.openxmlformats.org/officeDocument/2006/relationships/footer"/><Relationship Id="rId11" Target="header3.xml" Type="http://schemas.openxmlformats.org/officeDocument/2006/relationships/header"/><Relationship Id="rId12" Target="footer3.xml" Type="http://schemas.openxmlformats.org/officeDocument/2006/relationships/footer"/><Relationship Id="rId13" Target="fontTable.xml" Type="http://schemas.openxmlformats.org/officeDocument/2006/relationships/fontTable"/><Relationship Id="rId14"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6</Pages>
  <Words>315</Words>
  <Characters>1797</Characters>
  <Application>Microsoft Office Word</Application>
  <DocSecurity>0</DocSecurity>
  <Lines>14</Lines>
  <Paragraphs>4</Paragraphs>
  <ScaleCrop>false</ScaleCrop>
  <Company>cc</Company>
  <LinksUpToDate>false</LinksUpToDate>
  <CharactersWithSpaces>2108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兆尹科技</cp:lastModifiedBy>
  <dcterms:modified xsi:type="dcterms:W3CDTF">2023-06-06T07:37:00Z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2052-10.8.0.6157</vt:lpwstr>
  </property>
  <property fmtid="{D5CDD505-2E9C-101B-9397-08002B2CF9AE}" pid="3" name="ICV">
    <vt:lpwstr>65B57D7BDF384424A76A3B84B5FDE380</vt:lpwstr>
  </property>
</Properties>
</file>