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南银理财珠联璧合鑫逸稳半年17期封闭式公募人民币理财产品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2</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南银理财珠联璧合鑫逸稳半年17期封闭式公募人民币理财产品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Z7003223000054（投资者可依据该编码在中国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2023年03月22日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488,684,133.00份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平安资产管理有限责任公司,江苏省国际信托有限责任公司,鑫元基金管理有限公司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报告期（2023年04月01日 - 2023年06月30日）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Y70017</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56,764,255.23</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1.0101</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1.0101</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Y71017</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131,987,894.99</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1.0104</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1.0104</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Y72017</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305,115,118.07</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1.0107</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1.0107</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强刺激的可能性并不算大，稳增长政策出台后，也需要数据验证效果，基本面对债市仍相对有利，加上资金面易松难紧，债市大幅调整的风险可控，预计为偏强震荡市，票息策略仍然占优。不过当前信用债收益率已处于较低水平，信用利差进一步压缩的空间有限，关注理财规模增长是否支撑信用债继续下行。考虑曲线形态较为平坦，中短端确定性相对更高，择机参与交易机会。</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    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截至报告期末，本产品Y70017份额净值为1.0101元，Y71017份额净值为1.0104元，Y72017份额净值为1.0107元。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ZJQTT202203100001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鑫元基金-鑫安利得62号集合资产管理计划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146,887,891.90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29.74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ZJQTT202207200001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江苏信托鑫盈1号集合资金信托计划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143,546,789.10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29.07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平安资产如意37号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100,159,879.37</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23880891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23汤山旅游02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南京汤山旅游发展有限公司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23汤山旅游02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0120090000001106</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南银理财鑫逸稳半年17期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产品投资于关联方承销的证券交易金额100,000,000.00元。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产品投资关联方作为管理人的资产管理产品交易金额70,000,000.00元。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5,178.42</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2023年06月30日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