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C20" w:rsidRDefault="00DA3C20" w:rsidP="00351D11">
      <w:pPr>
        <w:spacing w:before="240" w:afterLines="30" w:line="360" w:lineRule="auto"/>
        <w:jc w:val="center"/>
      </w:pPr>
    </w:p>
    <w:p w:rsidR="00DA3C20" w:rsidRDefault="00DA3C20" w:rsidP="00351D11">
      <w:pPr>
        <w:spacing w:before="240" w:afterLines="30" w:line="360" w:lineRule="auto"/>
        <w:jc w:val="center"/>
      </w:pPr>
    </w:p>
    <w:p w:rsidR="00DA3C20" w:rsidRDefault="00DA3C20" w:rsidP="00351D11">
      <w:pPr>
        <w:spacing w:before="240" w:afterLines="30" w:line="360" w:lineRule="auto"/>
        <w:jc w:val="center"/>
      </w:pPr>
    </w:p>
    <w:p w:rsidR="00DA3C20" w:rsidRDefault="00E9336A" w:rsidP="00351D11">
      <w:pPr>
        <w:spacing w:before="240" w:afterLines="30" w:line="360" w:lineRule="auto"/>
        <w:jc w:val="center"/>
        <w:rPr>
          <w:rFonts w:ascii="方正黑体简体" w:eastAsia="方正黑体简体"/>
          <w:sz w:val="36"/>
        </w:rPr>
      </w:pPr>
      <w:r>
        <w:rPr>
          <w:rFonts w:ascii="方正黑体简体" w:eastAsia="方正黑体简体"/>
          <w:sz w:val="36"/>
        </w:rPr>
        <w:t>南银理财珠联璧合日日聚宝现金管理类公募人民币理财产品</w:t>
      </w:r>
    </w:p>
    <w:p w:rsidR="00DA3C20" w:rsidRDefault="00E9336A" w:rsidP="00351D11">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2023年</w:t>
      </w:r>
      <w:r>
        <w:rPr>
          <w:rFonts w:ascii="方正黑体简体" w:eastAsia="方正黑体简体" w:hAnsi="Calibri" w:hint="eastAsia"/>
          <w:sz w:val="36"/>
        </w:rPr>
        <w:t>年度</w:t>
      </w:r>
      <w:r>
        <w:rPr>
          <w:rFonts w:ascii="方正黑体简体" w:eastAsia="方正黑体简体" w:hAnsi="黑体"/>
          <w:sz w:val="36"/>
        </w:rPr>
        <w:t>报告</w:t>
      </w:r>
    </w:p>
    <w:p w:rsidR="00DA3C20" w:rsidRDefault="00DA3C20" w:rsidP="00351D11">
      <w:pPr>
        <w:spacing w:before="240" w:afterLines="30" w:line="360" w:lineRule="auto"/>
        <w:jc w:val="center"/>
        <w:rPr>
          <w:rFonts w:ascii="黑体" w:eastAsia="黑体" w:hAnsi="黑体"/>
          <w:sz w:val="36"/>
        </w:rPr>
      </w:pPr>
    </w:p>
    <w:p w:rsidR="00DA3C20" w:rsidRDefault="00DA3C20" w:rsidP="00351D11">
      <w:pPr>
        <w:spacing w:before="240" w:afterLines="30" w:line="360" w:lineRule="auto"/>
        <w:jc w:val="center"/>
        <w:rPr>
          <w:rFonts w:ascii="黑体" w:eastAsia="黑体" w:hAnsi="黑体"/>
          <w:sz w:val="36"/>
        </w:rPr>
      </w:pPr>
    </w:p>
    <w:p w:rsidR="00DA3C20" w:rsidRDefault="00DA3C20" w:rsidP="00351D11">
      <w:pPr>
        <w:spacing w:before="240" w:afterLines="30" w:line="360" w:lineRule="auto"/>
        <w:jc w:val="center"/>
        <w:rPr>
          <w:rFonts w:ascii="黑体" w:eastAsia="黑体" w:hAnsi="黑体"/>
          <w:sz w:val="36"/>
        </w:rPr>
      </w:pPr>
    </w:p>
    <w:p w:rsidR="00DA3C20" w:rsidRDefault="00DA3C20" w:rsidP="00351D11">
      <w:pPr>
        <w:spacing w:before="240" w:afterLines="30" w:line="360" w:lineRule="auto"/>
        <w:jc w:val="center"/>
        <w:rPr>
          <w:rFonts w:ascii="黑体" w:eastAsia="黑体" w:hAnsi="黑体"/>
          <w:sz w:val="36"/>
        </w:rPr>
      </w:pPr>
    </w:p>
    <w:p w:rsidR="00DA3C20" w:rsidRDefault="00DA3C20" w:rsidP="00351D11">
      <w:pPr>
        <w:spacing w:before="240" w:afterLines="30" w:line="360" w:lineRule="auto"/>
        <w:jc w:val="center"/>
        <w:rPr>
          <w:rFonts w:ascii="黑体" w:eastAsia="黑体" w:hAnsi="黑体"/>
          <w:sz w:val="36"/>
        </w:rPr>
      </w:pPr>
    </w:p>
    <w:p w:rsidR="00DA3C20" w:rsidRDefault="00DA3C20" w:rsidP="00351D11">
      <w:pPr>
        <w:spacing w:before="240" w:afterLines="30" w:line="360" w:lineRule="auto"/>
        <w:jc w:val="center"/>
        <w:rPr>
          <w:rFonts w:ascii="黑体" w:eastAsia="黑体" w:hAnsi="黑体"/>
          <w:sz w:val="36"/>
        </w:rPr>
      </w:pPr>
    </w:p>
    <w:p w:rsidR="00DA3C20" w:rsidRDefault="00DA3C20" w:rsidP="00351D11">
      <w:pPr>
        <w:spacing w:before="240" w:afterLines="30" w:line="360" w:lineRule="auto"/>
        <w:jc w:val="center"/>
        <w:rPr>
          <w:rFonts w:ascii="黑体" w:eastAsia="黑体" w:hAnsi="黑体"/>
          <w:sz w:val="36"/>
        </w:rPr>
      </w:pPr>
    </w:p>
    <w:p w:rsidR="00DA3C20" w:rsidRDefault="00E9336A" w:rsidP="00351D11">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DA3C20" w:rsidRDefault="00E9336A" w:rsidP="00351D11">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DA3C20" w:rsidRDefault="00E9336A">
      <w:pPr>
        <w:widowControl/>
        <w:jc w:val="left"/>
        <w:rPr>
          <w:rFonts w:ascii="方正仿宋简体" w:eastAsia="方正仿宋简体"/>
          <w:sz w:val="24"/>
          <w:szCs w:val="24"/>
        </w:rPr>
      </w:pPr>
      <w:r>
        <w:rPr>
          <w:rFonts w:ascii="方正仿宋简体" w:eastAsia="方正仿宋简体"/>
          <w:sz w:val="24"/>
          <w:szCs w:val="24"/>
        </w:rPr>
        <w:br w:type="page"/>
      </w:r>
    </w:p>
    <w:p w:rsidR="00DA3C20" w:rsidRDefault="00E9336A" w:rsidP="00351D11">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4"/>
        <w:gridCol w:w="6519"/>
      </w:tblGrid>
      <w:tr w:rsidR="00DA3C20">
        <w:trPr>
          <w:jc w:val="center"/>
        </w:trPr>
        <w:tc>
          <w:tcPr>
            <w:tcW w:w="2724"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519"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南银理财珠联璧合日日聚宝现金管理类公募人民币理财产品</w:t>
            </w:r>
          </w:p>
        </w:tc>
      </w:tr>
      <w:tr w:rsidR="00DA3C20">
        <w:trPr>
          <w:jc w:val="center"/>
        </w:trPr>
        <w:tc>
          <w:tcPr>
            <w:tcW w:w="2724"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519"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Z7003220000009（投资者可依据该编码在中国理财网www.chinawealth.com.cn查询理财产品相关信息）</w:t>
            </w:r>
          </w:p>
        </w:tc>
      </w:tr>
      <w:tr w:rsidR="00DA3C20">
        <w:trPr>
          <w:jc w:val="center"/>
        </w:trPr>
        <w:tc>
          <w:tcPr>
            <w:tcW w:w="2724"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519"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DA3C20">
        <w:trPr>
          <w:jc w:val="center"/>
        </w:trPr>
        <w:tc>
          <w:tcPr>
            <w:tcW w:w="2724"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519"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2019年10月22日</w:t>
            </w:r>
          </w:p>
        </w:tc>
      </w:tr>
      <w:tr w:rsidR="00DA3C20">
        <w:trPr>
          <w:jc w:val="center"/>
        </w:trPr>
        <w:tc>
          <w:tcPr>
            <w:tcW w:w="2724"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519"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21,535,881,739.93份</w:t>
            </w:r>
          </w:p>
        </w:tc>
      </w:tr>
      <w:tr w:rsidR="00DA3C20">
        <w:trPr>
          <w:jc w:val="center"/>
        </w:trPr>
        <w:tc>
          <w:tcPr>
            <w:tcW w:w="2724"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519"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sz w:val="24"/>
                <w:szCs w:val="24"/>
              </w:rPr>
              <w:t>105.95%</w:t>
            </w:r>
          </w:p>
        </w:tc>
      </w:tr>
      <w:tr w:rsidR="00DA3C20">
        <w:trPr>
          <w:jc w:val="center"/>
        </w:trPr>
        <w:tc>
          <w:tcPr>
            <w:tcW w:w="2724"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519"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DA3C20">
        <w:trPr>
          <w:jc w:val="center"/>
        </w:trPr>
        <w:tc>
          <w:tcPr>
            <w:tcW w:w="2724"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519"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DA3C20">
        <w:trPr>
          <w:jc w:val="center"/>
        </w:trPr>
        <w:tc>
          <w:tcPr>
            <w:tcW w:w="2724"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519" w:type="dxa"/>
            <w:vAlign w:val="center"/>
          </w:tcPr>
          <w:p w:rsidR="00DA3C20" w:rsidRDefault="00E9336A" w:rsidP="00351D11">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DA3C20" w:rsidRDefault="00DA3C20" w:rsidP="00351D11">
      <w:pPr>
        <w:spacing w:before="240" w:afterLines="30" w:line="360" w:lineRule="auto"/>
        <w:rPr>
          <w:rFonts w:ascii="方正仿宋简体" w:eastAsia="方正仿宋简体" w:hAnsi="Calibri"/>
          <w:sz w:val="24"/>
          <w:szCs w:val="24"/>
        </w:rPr>
      </w:pPr>
    </w:p>
    <w:p w:rsidR="00DA3C20" w:rsidRDefault="00E9336A" w:rsidP="00351D11">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DA3C20" w:rsidRDefault="00E9336A" w:rsidP="00351D11">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DA3C20" w:rsidRDefault="00E9336A" w:rsidP="00351D11">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2409"/>
        <w:gridCol w:w="1418"/>
        <w:gridCol w:w="1559"/>
        <w:gridCol w:w="1814"/>
      </w:tblGrid>
      <w:tr w:rsidR="00DA3C20">
        <w:trPr>
          <w:jc w:val="center"/>
        </w:trPr>
        <w:tc>
          <w:tcPr>
            <w:tcW w:w="2122" w:type="dxa"/>
            <w:vMerge w:val="restart"/>
            <w:vAlign w:val="center"/>
          </w:tcPr>
          <w:p w:rsidR="00DA3C20" w:rsidRDefault="00E9336A" w:rsidP="00351D11">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200" w:type="dxa"/>
            <w:gridSpan w:val="4"/>
            <w:vAlign w:val="center"/>
          </w:tcPr>
          <w:p w:rsidR="00DA3C20" w:rsidRDefault="00E9336A" w:rsidP="00351D11">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报告期（2023年01月01日 - 2023年12月31日）</w:t>
            </w:r>
          </w:p>
        </w:tc>
      </w:tr>
      <w:tr w:rsidR="00DA3C20">
        <w:trPr>
          <w:jc w:val="center"/>
        </w:trPr>
        <w:tc>
          <w:tcPr>
            <w:tcW w:w="2122" w:type="dxa"/>
            <w:vMerge/>
            <w:vAlign w:val="center"/>
          </w:tcPr>
          <w:p w:rsidR="00DA3C20" w:rsidRDefault="00DA3C20" w:rsidP="00351D11">
            <w:pPr>
              <w:spacing w:beforeLines="20" w:afterLines="20"/>
              <w:jc w:val="center"/>
              <w:rPr>
                <w:rFonts w:ascii="方正仿宋简体" w:eastAsia="方正仿宋简体"/>
                <w:sz w:val="24"/>
                <w:szCs w:val="24"/>
                <w:shd w:val="clear" w:color="auto" w:fill="FFFFFF"/>
              </w:rPr>
            </w:pPr>
          </w:p>
        </w:tc>
        <w:tc>
          <w:tcPr>
            <w:tcW w:w="2409" w:type="dxa"/>
            <w:vAlign w:val="center"/>
          </w:tcPr>
          <w:p w:rsidR="00DA3C20" w:rsidRDefault="00E9336A" w:rsidP="00351D11">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418" w:type="dxa"/>
            <w:vAlign w:val="center"/>
          </w:tcPr>
          <w:p w:rsidR="00DA3C20" w:rsidRDefault="00E9336A" w:rsidP="00351D11">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559" w:type="dxa"/>
            <w:vAlign w:val="center"/>
          </w:tcPr>
          <w:p w:rsidR="00DA3C20" w:rsidRDefault="00E9336A" w:rsidP="00351D11">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814" w:type="dxa"/>
            <w:vAlign w:val="center"/>
          </w:tcPr>
          <w:p w:rsidR="00DA3C20" w:rsidRDefault="00E9336A" w:rsidP="00351D11">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A20002</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7,048,684,296.78</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restart"/>
            <w:vAlign w:val="center"/>
          </w:tcPr>
          <w:p w:rsidR="00D24D42" w:rsidRDefault="00351D11"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int="eastAsia"/>
                <w:color w:val="000000"/>
              </w:rPr>
              <w:t>46,700.00</w:t>
            </w: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A21002</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190,871,135.89</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A22001</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1,955,208,926.29</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A22002</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9,073,019,381.73</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lastRenderedPageBreak/>
              <w:t>A22004</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1,069,688,921.67</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A22005</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827,757,395.40</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A22006</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26,902,153.61</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A22007</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143,065,833.71</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A22008</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190,304,014.50</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A22009</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10,379,680.35</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r w:rsidR="00D24D42">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D24D42" w:rsidRDefault="00D24D42" w:rsidP="00351D1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w:t>
            </w:r>
            <w:r>
              <w:rPr>
                <w:rFonts w:ascii="方正仿宋简体" w:eastAsia="方正仿宋简体" w:hAnsi="方正仿宋简体" w:cs="方正仿宋简体" w:hint="eastAsia"/>
                <w:sz w:val="24"/>
              </w:rPr>
              <w:t>10</w:t>
            </w:r>
          </w:p>
        </w:tc>
        <w:tc>
          <w:tcPr>
            <w:tcW w:w="2409" w:type="dxa"/>
            <w:vAlign w:val="center"/>
          </w:tcPr>
          <w:p w:rsidR="00D24D42" w:rsidRDefault="00D24D42" w:rsidP="00351D11">
            <w:pPr>
              <w:spacing w:beforeLines="20" w:afterLines="20"/>
              <w:jc w:val="center"/>
              <w:textAlignment w:val="center"/>
              <w:rPr>
                <w:rFonts w:ascii="方正仿宋简体" w:eastAsia="方正仿宋简体"/>
                <w:sz w:val="24"/>
                <w:szCs w:val="24"/>
              </w:rPr>
            </w:pPr>
            <w:r w:rsidRPr="00907D47">
              <w:rPr>
                <w:rFonts w:ascii="方正仿宋简体" w:eastAsia="方正仿宋简体" w:hAnsi="方正仿宋简体" w:cs="方正仿宋简体"/>
                <w:sz w:val="24"/>
              </w:rPr>
              <w:t>1,000,000,000.00</w:t>
            </w:r>
          </w:p>
        </w:tc>
        <w:tc>
          <w:tcPr>
            <w:tcW w:w="1418" w:type="dxa"/>
            <w:vAlign w:val="center"/>
          </w:tcPr>
          <w:p w:rsidR="00D24D42" w:rsidRDefault="00D24D42" w:rsidP="00351D1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1559" w:type="dxa"/>
            <w:vAlign w:val="center"/>
          </w:tcPr>
          <w:p w:rsidR="00D24D42" w:rsidRDefault="00D24D42" w:rsidP="00351D11">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1814" w:type="dxa"/>
            <w:vMerge/>
            <w:vAlign w:val="center"/>
          </w:tcPr>
          <w:p w:rsidR="00D24D42" w:rsidRDefault="00D24D42" w:rsidP="00351D11">
            <w:pPr>
              <w:spacing w:beforeLines="20" w:afterLines="20"/>
              <w:jc w:val="center"/>
              <w:textAlignment w:val="center"/>
              <w:rPr>
                <w:rFonts w:ascii="方正仿宋简体" w:eastAsia="方正仿宋简体"/>
                <w:sz w:val="24"/>
                <w:szCs w:val="24"/>
                <w:shd w:val="clear" w:color="auto" w:fill="FFFFFF"/>
              </w:rPr>
            </w:pPr>
          </w:p>
        </w:tc>
      </w:tr>
    </w:tbl>
    <w:p w:rsidR="00DA3C20" w:rsidRDefault="00E9336A" w:rsidP="00351D11">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DA3C20" w:rsidRDefault="00DA3C20" w:rsidP="00351D11">
      <w:pPr>
        <w:spacing w:before="240" w:afterLines="30" w:line="360" w:lineRule="auto"/>
        <w:rPr>
          <w:rFonts w:ascii="方正仿宋简体" w:eastAsia="方正仿宋简体" w:hAnsi="宋体" w:cs="宋体"/>
          <w:kern w:val="0"/>
          <w:sz w:val="24"/>
          <w:szCs w:val="24"/>
        </w:rPr>
      </w:pPr>
    </w:p>
    <w:p w:rsidR="00DA3C20" w:rsidRDefault="00E9336A" w:rsidP="00351D11">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DA3C20" w:rsidRDefault="00E9336A" w:rsidP="00351D11">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DA3C20" w:rsidRDefault="00E9336A" w:rsidP="00351D11">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债券市场整体走牛，经历了2022年四季度的大幅调整后，2023年有所恢复，无风险利率中枢下行。经济结构中的地产投资低于市场预期，地产放松政策强度弱于预期，地方债务风险化解持续推进，社会有效需求不足。同时央行的货币政策整体呈现中性偏宽松，资产荒的格局再次上演，期限利差和信用利差持续压缩。</w:t>
      </w:r>
      <w:r>
        <w:rPr>
          <w:rFonts w:ascii="方正仿宋简体" w:eastAsia="方正仿宋简体" w:hint="eastAsia"/>
          <w:sz w:val="24"/>
          <w:szCs w:val="24"/>
        </w:rPr>
        <w:br w:type="textWrapping" w:clear="all"/>
        <w:t>  展望后市，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r>
      <w:r>
        <w:rPr>
          <w:rFonts w:ascii="方正仿宋简体" w:eastAsia="方正仿宋简体" w:hint="eastAsia"/>
          <w:sz w:val="24"/>
          <w:szCs w:val="24"/>
        </w:rPr>
        <w:br w:type="textWrapping" w:clear="all"/>
        <w:t>  操作方面，产品延续了稳健的投资风格，持续提高利率债、存单和活期存款等高流动性资产配置，并根据资金利率水平灵活使用杠杆，未来拟继续坚持流动性，兼顾收益性的目标进行操作，保证流动性安全、信用风险可控的基础上为客户提供稳定的收益回</w:t>
      </w:r>
      <w:r>
        <w:rPr>
          <w:rFonts w:ascii="方正仿宋简体" w:eastAsia="方正仿宋简体" w:hint="eastAsia"/>
          <w:sz w:val="24"/>
          <w:szCs w:val="24"/>
        </w:rPr>
        <w:lastRenderedPageBreak/>
        <w:t>报。</w:t>
      </w:r>
    </w:p>
    <w:p w:rsidR="00DA3C20" w:rsidRDefault="00E9336A" w:rsidP="00351D11">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DA3C20" w:rsidRDefault="00E9336A" w:rsidP="00351D11">
      <w:pPr>
        <w:spacing w:before="240" w:afterLines="30" w:line="360" w:lineRule="auto"/>
        <w:rPr>
          <w:rFonts w:ascii="方正仿宋简体" w:eastAsia="方正仿宋简体"/>
          <w:sz w:val="24"/>
          <w:szCs w:val="24"/>
        </w:rPr>
      </w:pPr>
      <w:r>
        <w:rPr>
          <w:rFonts w:ascii="方正仿宋简体" w:eastAsia="方正仿宋简体" w:hint="eastAsia"/>
          <w:sz w:val="24"/>
          <w:szCs w:val="24"/>
        </w:rPr>
        <w:t>  稳增长基调下，货币政策积极稳健的导向不变，本产品将主动控制久期，适当使用杠杆，关注节点资金波动情况，做好流动性预判和资产的到期分布安排，防范流动性风险。</w:t>
      </w:r>
    </w:p>
    <w:p w:rsidR="00DA3C20" w:rsidRDefault="00E9336A" w:rsidP="00351D11">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DA3C20" w:rsidRDefault="00E9336A" w:rsidP="00351D11">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20002份额净值为1.0000元，A21002份额净值为1.0000元，A22001份额净值为1.0000元，A22002份额净值为1.0000元，A22004份额净值为1.0000元，A22005份额净值为1.0000元，A22006份额净值为1.0000元，A22007份额净值为1.0000元，A22008份额净值为1.0000元，A22009份额净值为1.0000元</w:t>
      </w:r>
      <w:r w:rsidR="00D24D42">
        <w:rPr>
          <w:rFonts w:ascii="方正仿宋简体" w:eastAsia="方正仿宋简体" w:hint="eastAsia"/>
          <w:sz w:val="24"/>
          <w:szCs w:val="24"/>
        </w:rPr>
        <w:t>，</w:t>
      </w:r>
      <w:r w:rsidR="00D24D42" w:rsidRPr="00B0184E">
        <w:rPr>
          <w:rFonts w:ascii="方正仿宋简体" w:eastAsia="方正仿宋简体" w:hint="eastAsia"/>
          <w:sz w:val="24"/>
          <w:szCs w:val="24"/>
        </w:rPr>
        <w:t>A2</w:t>
      </w:r>
      <w:r w:rsidR="00D24D42">
        <w:rPr>
          <w:rFonts w:ascii="方正仿宋简体" w:eastAsia="方正仿宋简体" w:hint="eastAsia"/>
          <w:sz w:val="24"/>
          <w:szCs w:val="24"/>
        </w:rPr>
        <w:t>2</w:t>
      </w:r>
      <w:r w:rsidR="00D24D42" w:rsidRPr="00B0184E">
        <w:rPr>
          <w:rFonts w:ascii="方正仿宋简体" w:eastAsia="方正仿宋简体" w:hint="eastAsia"/>
          <w:sz w:val="24"/>
          <w:szCs w:val="24"/>
        </w:rPr>
        <w:t>0</w:t>
      </w:r>
      <w:r w:rsidR="00D24D42">
        <w:rPr>
          <w:rFonts w:ascii="方正仿宋简体" w:eastAsia="方正仿宋简体" w:hint="eastAsia"/>
          <w:sz w:val="24"/>
          <w:szCs w:val="24"/>
        </w:rPr>
        <w:t>10</w:t>
      </w:r>
      <w:r w:rsidR="00D24D42" w:rsidRPr="00B0184E">
        <w:rPr>
          <w:rFonts w:ascii="方正仿宋简体" w:eastAsia="方正仿宋简体" w:hint="eastAsia"/>
          <w:sz w:val="24"/>
          <w:szCs w:val="24"/>
        </w:rPr>
        <w:t>份额净值为1.0000</w:t>
      </w:r>
      <w:r w:rsidR="00D24D42">
        <w:rPr>
          <w:rFonts w:ascii="方正仿宋简体" w:eastAsia="方正仿宋简体" w:hint="eastAsia"/>
          <w:sz w:val="24"/>
          <w:szCs w:val="24"/>
        </w:rPr>
        <w:t>元</w:t>
      </w:r>
      <w:r w:rsidR="00D24D42" w:rsidRPr="00B0184E">
        <w:rPr>
          <w:rFonts w:ascii="方正仿宋简体" w:eastAsia="方正仿宋简体" w:hint="eastAsia"/>
          <w:sz w:val="24"/>
          <w:szCs w:val="24"/>
        </w:rPr>
        <w:t>。</w:t>
      </w:r>
    </w:p>
    <w:p w:rsidR="00DA3C20" w:rsidRDefault="00DA3C20" w:rsidP="00351D11">
      <w:pPr>
        <w:spacing w:before="240" w:afterLines="30" w:line="360" w:lineRule="auto"/>
        <w:rPr>
          <w:rFonts w:ascii="方正仿宋简体" w:eastAsia="方正仿宋简体" w:hAnsi="宋体" w:cs="宋体"/>
          <w:kern w:val="0"/>
          <w:sz w:val="24"/>
          <w:szCs w:val="24"/>
        </w:rPr>
      </w:pPr>
    </w:p>
    <w:p w:rsidR="00DA3C20" w:rsidRDefault="00E9336A" w:rsidP="00351D11">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DA3C20" w:rsidRDefault="00E9336A" w:rsidP="00351D11">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DA3C20" w:rsidRDefault="00E9336A" w:rsidP="00351D11">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DA3C20" w:rsidRDefault="00E9336A" w:rsidP="00351D11">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DA3C20" w:rsidRDefault="00E9336A" w:rsidP="00351D11">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w:t>
      </w:r>
      <w:r>
        <w:rPr>
          <w:rFonts w:ascii="方正仿宋简体" w:eastAsia="方正仿宋简体"/>
          <w:sz w:val="24"/>
          <w:szCs w:val="24"/>
        </w:rPr>
        <w:t>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DA3C20" w:rsidRDefault="00E9336A" w:rsidP="00351D11">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695B9F">
        <w:rPr>
          <w:rFonts w:ascii="方正仿宋简体" w:eastAsia="方正仿宋简体" w:hint="eastAsia"/>
          <w:b/>
          <w:sz w:val="24"/>
          <w:szCs w:val="24"/>
        </w:rPr>
        <w:t>本报告期内</w:t>
      </w:r>
      <w:r w:rsidR="00B43AEC">
        <w:rPr>
          <w:rFonts w:ascii="方正仿宋简体" w:eastAsia="方正仿宋简体" w:hint="eastAsia"/>
          <w:b/>
          <w:sz w:val="24"/>
          <w:szCs w:val="24"/>
        </w:rPr>
        <w:t>报告</w:t>
      </w:r>
      <w:r>
        <w:rPr>
          <w:rFonts w:ascii="方正仿宋简体" w:eastAsia="方正仿宋简体" w:hint="eastAsia"/>
          <w:b/>
          <w:sz w:val="24"/>
          <w:szCs w:val="24"/>
        </w:rPr>
        <w:t>中财务信息等内容的真实、准确和完整发表意见</w:t>
      </w:r>
    </w:p>
    <w:p w:rsidR="00DA3C20" w:rsidRDefault="00E9336A" w:rsidP="00351D11">
      <w:pPr>
        <w:spacing w:before="240" w:afterLines="30"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DA3C20" w:rsidRDefault="00DA3C20" w:rsidP="00351D11">
      <w:pPr>
        <w:spacing w:before="240" w:afterLines="30" w:line="360" w:lineRule="auto"/>
        <w:rPr>
          <w:rFonts w:ascii="方正仿宋简体" w:eastAsia="方正仿宋简体"/>
          <w:sz w:val="24"/>
          <w:szCs w:val="24"/>
        </w:rPr>
      </w:pPr>
    </w:p>
    <w:p w:rsidR="00DA3C20" w:rsidRDefault="00E9336A" w:rsidP="00351D11">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DA3C20" w:rsidRDefault="00E9336A" w:rsidP="00351D11">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61"/>
        <w:gridCol w:w="3004"/>
        <w:gridCol w:w="3292"/>
      </w:tblGrid>
      <w:tr w:rsidR="00DA3C20">
        <w:trPr>
          <w:jc w:val="center"/>
        </w:trPr>
        <w:tc>
          <w:tcPr>
            <w:tcW w:w="745"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DA3C20">
        <w:trPr>
          <w:jc w:val="center"/>
        </w:trPr>
        <w:tc>
          <w:tcPr>
            <w:tcW w:w="745"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DA3C20">
        <w:trPr>
          <w:jc w:val="center"/>
        </w:trPr>
        <w:tc>
          <w:tcPr>
            <w:tcW w:w="745"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DA3C20">
        <w:trPr>
          <w:jc w:val="center"/>
        </w:trPr>
        <w:tc>
          <w:tcPr>
            <w:tcW w:w="745"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DA3C20">
        <w:trPr>
          <w:jc w:val="center"/>
        </w:trPr>
        <w:tc>
          <w:tcPr>
            <w:tcW w:w="745"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DA3C20">
        <w:trPr>
          <w:jc w:val="center"/>
        </w:trPr>
        <w:tc>
          <w:tcPr>
            <w:tcW w:w="745" w:type="dxa"/>
            <w:vAlign w:val="bottom"/>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DA3C20" w:rsidRDefault="00DA3C20" w:rsidP="00351D11">
      <w:pPr>
        <w:spacing w:before="240" w:afterLines="30" w:line="360" w:lineRule="auto"/>
        <w:rPr>
          <w:rFonts w:ascii="方正仿宋简体" w:eastAsia="方正仿宋简体" w:cs="宋体"/>
          <w:kern w:val="0"/>
          <w:sz w:val="24"/>
          <w:szCs w:val="24"/>
        </w:rPr>
      </w:pPr>
    </w:p>
    <w:p w:rsidR="00DA3C20" w:rsidRDefault="00E9336A" w:rsidP="00351D11">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9"/>
        <w:gridCol w:w="1748"/>
        <w:gridCol w:w="2721"/>
        <w:gridCol w:w="2059"/>
        <w:gridCol w:w="1785"/>
      </w:tblGrid>
      <w:tr w:rsidR="00DA3C20">
        <w:trPr>
          <w:trHeight w:val="870"/>
          <w:jc w:val="center"/>
        </w:trPr>
        <w:tc>
          <w:tcPr>
            <w:tcW w:w="589"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748"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XJCKX202308150001</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恒丰银行约期存款20230815</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1,000,000,000.00</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4.64</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XJCKX202308110001</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浦发银行约期存款20230811</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500,000,000.00</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2.32</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XJCKX202309190001</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浦发银行约期存款20230919</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500,000,000.00</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2.32</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XJCKX202308020002</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浦发银行约期存款20230802</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500,000,000.00</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2.32</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XJCKX202307120001</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兴业银行约期存款20230712</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500,000,000.00</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2.32</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XJCKX202308090001</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浦发银行约期存款20230809</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500,000,000.00</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2.32</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230406</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23农发06</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499,995,085.50</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2.32</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112315345</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23民生银行CD345</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394,470,430.62</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1.83</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DQCKX202303150001</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浙商银行定期存款20230315</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300,000,000.00</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1.39</w:t>
            </w:r>
          </w:p>
        </w:tc>
      </w:tr>
      <w:tr w:rsidR="00DA3C20">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w:t>
            </w:r>
          </w:p>
        </w:tc>
        <w:tc>
          <w:tcPr>
            <w:tcW w:w="1748" w:type="dxa"/>
            <w:shd w:val="clear" w:color="auto" w:fill="auto"/>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XJCKX202305110021</w:t>
            </w:r>
          </w:p>
        </w:tc>
        <w:tc>
          <w:tcPr>
            <w:tcW w:w="2721"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交通银行约期存款20230511</w:t>
            </w:r>
          </w:p>
        </w:tc>
        <w:tc>
          <w:tcPr>
            <w:tcW w:w="2059"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300,000,000.00</w:t>
            </w:r>
          </w:p>
        </w:tc>
        <w:tc>
          <w:tcPr>
            <w:tcW w:w="1785" w:type="dxa"/>
            <w:shd w:val="clear" w:color="000000" w:fill="FFFFFF"/>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1.39</w:t>
            </w:r>
          </w:p>
        </w:tc>
      </w:tr>
    </w:tbl>
    <w:p w:rsidR="00DA3C20" w:rsidRDefault="00DA3C20" w:rsidP="00351D11">
      <w:pPr>
        <w:spacing w:before="240" w:afterLines="30" w:line="360" w:lineRule="auto"/>
        <w:rPr>
          <w:rFonts w:ascii="方正仿宋简体" w:eastAsia="方正仿宋简体" w:hAnsi="宋体" w:cs="宋体"/>
          <w:sz w:val="24"/>
          <w:szCs w:val="24"/>
          <w:shd w:val="clear" w:color="auto" w:fill="FFFFFF"/>
        </w:rPr>
      </w:pPr>
    </w:p>
    <w:p w:rsidR="00DA3C20" w:rsidRDefault="00E9336A" w:rsidP="00351D11">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1272"/>
        <w:gridCol w:w="1695"/>
        <w:gridCol w:w="1412"/>
        <w:gridCol w:w="1695"/>
        <w:gridCol w:w="1272"/>
        <w:gridCol w:w="849"/>
      </w:tblGrid>
      <w:tr w:rsidR="00DA3C20">
        <w:trPr>
          <w:jc w:val="center"/>
        </w:trPr>
        <w:tc>
          <w:tcPr>
            <w:tcW w:w="707"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rsidR="00DA3C20">
        <w:tblPrEx>
          <w:tblBorders>
            <w:top w:val="single" w:sz="1" w:space="0" w:color="000000"/>
            <w:left w:val="single" w:sz="1" w:space="0" w:color="000000"/>
            <w:bottom w:val="single" w:sz="1" w:space="0" w:color="000000"/>
            <w:right w:val="single" w:sz="1" w:space="0" w:color="000000"/>
          </w:tblBorders>
        </w:tblPrEx>
        <w:trPr>
          <w:jc w:val="center"/>
        </w:trPr>
        <w:tc>
          <w:tcPr>
            <w:tcW w:w="707"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272"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695"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412"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695"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272"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849"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bl>
    <w:p w:rsidR="00DA3C20" w:rsidRDefault="00DA3C20" w:rsidP="00351D11">
      <w:pPr>
        <w:spacing w:before="240" w:afterLines="30" w:line="360" w:lineRule="auto"/>
        <w:rPr>
          <w:rFonts w:ascii="方正仿宋简体" w:eastAsia="方正仿宋简体" w:hAnsi="宋体" w:cs="宋体"/>
          <w:kern w:val="0"/>
          <w:sz w:val="24"/>
          <w:szCs w:val="24"/>
        </w:rPr>
      </w:pPr>
    </w:p>
    <w:p w:rsidR="00DA3C20" w:rsidRDefault="00E9336A" w:rsidP="00351D11">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§6投资账户信息</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1520"/>
        <w:gridCol w:w="2554"/>
        <w:gridCol w:w="1984"/>
        <w:gridCol w:w="1984"/>
      </w:tblGrid>
      <w:tr w:rsidR="00DA3C20">
        <w:trPr>
          <w:trHeight w:val="705"/>
          <w:jc w:val="center"/>
        </w:trPr>
        <w:tc>
          <w:tcPr>
            <w:tcW w:w="860"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20"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54"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860"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520"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托管账户</w:t>
            </w:r>
          </w:p>
        </w:tc>
        <w:tc>
          <w:tcPr>
            <w:tcW w:w="2554"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0120080000000329</w:t>
            </w:r>
          </w:p>
        </w:tc>
        <w:tc>
          <w:tcPr>
            <w:tcW w:w="1984"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南京银行日日聚宝</w:t>
            </w:r>
          </w:p>
        </w:tc>
        <w:tc>
          <w:tcPr>
            <w:tcW w:w="1984" w:type="dxa"/>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南京银行</w:t>
            </w:r>
          </w:p>
        </w:tc>
      </w:tr>
    </w:tbl>
    <w:p w:rsidR="00DA3C20" w:rsidRDefault="00DA3C20" w:rsidP="00351D11">
      <w:pPr>
        <w:spacing w:before="240" w:afterLines="30" w:line="360" w:lineRule="auto"/>
        <w:rPr>
          <w:rFonts w:ascii="方正仿宋简体" w:eastAsia="方正仿宋简体"/>
          <w:sz w:val="24"/>
          <w:szCs w:val="24"/>
        </w:rPr>
      </w:pPr>
    </w:p>
    <w:p w:rsidR="00DA3C20" w:rsidRDefault="00E9336A" w:rsidP="00351D11">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DA3C20" w:rsidRDefault="00E9336A" w:rsidP="00351D1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430,036,177.62</w:t>
      </w:r>
      <w:r>
        <w:rPr>
          <w:rFonts w:ascii="方正仿宋简体" w:eastAsia="方正仿宋简体" w:hAnsi="宋体" w:cs="宋体" w:hint="eastAsia"/>
          <w:color w:val="000000"/>
          <w:kern w:val="0"/>
          <w:sz w:val="24"/>
          <w:szCs w:val="24"/>
        </w:rPr>
        <w:t>元。</w:t>
      </w:r>
    </w:p>
    <w:p w:rsidR="00DA3C20" w:rsidRDefault="00E9336A" w:rsidP="00351D1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DA3C20" w:rsidRDefault="00E9336A" w:rsidP="00351D1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2,894,925,866.71</w:t>
      </w:r>
      <w:r>
        <w:rPr>
          <w:rFonts w:ascii="方正仿宋简体" w:eastAsia="方正仿宋简体" w:hAnsi="宋体" w:cs="宋体" w:hint="eastAsia"/>
          <w:color w:val="000000"/>
          <w:kern w:val="0"/>
          <w:sz w:val="24"/>
          <w:szCs w:val="24"/>
        </w:rPr>
        <w:t>元。</w:t>
      </w:r>
    </w:p>
    <w:p w:rsidR="00DA3C20" w:rsidRDefault="00E9336A" w:rsidP="00351D1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930,374,197.05</w:t>
      </w:r>
      <w:r>
        <w:rPr>
          <w:rFonts w:ascii="方正仿宋简体" w:eastAsia="方正仿宋简体" w:hAnsi="宋体" w:cs="宋体" w:hint="eastAsia"/>
          <w:color w:val="000000"/>
          <w:kern w:val="0"/>
          <w:sz w:val="24"/>
          <w:szCs w:val="24"/>
        </w:rPr>
        <w:t>元。</w:t>
      </w:r>
    </w:p>
    <w:p w:rsidR="00DA3C20" w:rsidRDefault="00E9336A" w:rsidP="00351D1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DA3C20" w:rsidRDefault="00E9336A" w:rsidP="00351D1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产品应支付关联方托管费</w:t>
      </w:r>
      <w:r>
        <w:rPr>
          <w:rFonts w:ascii="方正仿宋简体" w:eastAsia="方正仿宋简体" w:hAnsi="宋体" w:cs="宋体"/>
          <w:color w:val="000000"/>
          <w:kern w:val="0"/>
          <w:sz w:val="24"/>
          <w:szCs w:val="24"/>
        </w:rPr>
        <w:t>6,681,224.97</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13,285,797.28</w:t>
      </w:r>
      <w:r>
        <w:rPr>
          <w:rFonts w:ascii="方正仿宋简体" w:eastAsia="方正仿宋简体" w:hAnsi="宋体" w:cs="宋体" w:hint="eastAsia"/>
          <w:color w:val="000000"/>
          <w:kern w:val="0"/>
          <w:sz w:val="24"/>
          <w:szCs w:val="24"/>
        </w:rPr>
        <w:t>元。</w:t>
      </w:r>
    </w:p>
    <w:p w:rsidR="00DA3C20" w:rsidRDefault="00E9336A" w:rsidP="00351D1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DA3C20" w:rsidRDefault="00E9336A" w:rsidP="00351D11">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DA3C20" w:rsidRDefault="00DA3C20" w:rsidP="00351D11">
      <w:pPr>
        <w:spacing w:before="240" w:afterLines="30" w:line="360" w:lineRule="auto"/>
        <w:rPr>
          <w:rFonts w:ascii="方正仿宋简体" w:eastAsia="方正仿宋简体" w:hAnsi="宋体" w:cs="宋体"/>
          <w:kern w:val="0"/>
          <w:sz w:val="24"/>
          <w:szCs w:val="24"/>
        </w:rPr>
      </w:pPr>
    </w:p>
    <w:p w:rsidR="00DA3C20" w:rsidRDefault="00E9336A" w:rsidP="00351D11">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§8前10名投资者情况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275"/>
        <w:gridCol w:w="3828"/>
        <w:gridCol w:w="2811"/>
      </w:tblGrid>
      <w:tr w:rsidR="00DA3C20">
        <w:trPr>
          <w:trHeight w:val="705"/>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持有份额（份）</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占总份额比例（%）</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1,000,000,000.00</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4.64</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157,988,731.80</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0.73</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129,226,614.40</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0.60</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120,221,510.46</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0.56</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100,039,027.10</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0.46</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100,011,250.34</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0.46</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100,011,250.34</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0.46</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100,005,628.41</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0.46</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80,000,000.00</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0.37</w:t>
            </w:r>
          </w:p>
        </w:tc>
      </w:tr>
      <w:tr w:rsidR="00DA3C20">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w:t>
            </w:r>
          </w:p>
        </w:tc>
        <w:tc>
          <w:tcPr>
            <w:tcW w:w="1275"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67,786,922.05</w:t>
            </w:r>
          </w:p>
        </w:tc>
        <w:tc>
          <w:tcPr>
            <w:tcW w:w="2811" w:type="dxa"/>
            <w:tcBorders>
              <w:top w:val="single" w:sz="4" w:space="0" w:color="auto"/>
              <w:left w:val="single" w:sz="4" w:space="0" w:color="auto"/>
              <w:bottom w:val="single" w:sz="4" w:space="0" w:color="auto"/>
              <w:right w:val="single" w:sz="4" w:space="0" w:color="auto"/>
            </w:tcBorders>
            <w:vAlign w:val="center"/>
          </w:tcPr>
          <w:p w:rsidR="00DA3C20" w:rsidRDefault="00E9336A" w:rsidP="00351D11">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0.31</w:t>
            </w:r>
          </w:p>
        </w:tc>
      </w:tr>
    </w:tbl>
    <w:p w:rsidR="00DA3C20" w:rsidRDefault="00DA3C20" w:rsidP="00351D11">
      <w:pPr>
        <w:spacing w:before="240" w:afterLines="30" w:line="360" w:lineRule="auto"/>
        <w:rPr>
          <w:rFonts w:ascii="方正仿宋简体" w:eastAsia="方正仿宋简体" w:hAnsi="宋体" w:cs="宋体"/>
          <w:kern w:val="0"/>
          <w:sz w:val="24"/>
          <w:szCs w:val="24"/>
        </w:rPr>
      </w:pPr>
    </w:p>
    <w:p w:rsidR="00DA3C20" w:rsidRDefault="00DA3C20" w:rsidP="00351D11">
      <w:pPr>
        <w:spacing w:before="240" w:afterLines="30" w:line="360" w:lineRule="auto"/>
        <w:rPr>
          <w:rFonts w:ascii="方正仿宋简体" w:eastAsia="方正仿宋简体" w:hAnsi="宋体" w:cs="宋体"/>
          <w:kern w:val="0"/>
          <w:sz w:val="24"/>
          <w:szCs w:val="24"/>
        </w:rPr>
      </w:pPr>
    </w:p>
    <w:p w:rsidR="00DA3C20" w:rsidRDefault="00DA3C20" w:rsidP="00351D11">
      <w:pPr>
        <w:spacing w:before="240" w:afterLines="30" w:line="360" w:lineRule="auto"/>
        <w:rPr>
          <w:rFonts w:ascii="方正仿宋简体" w:eastAsia="方正仿宋简体" w:hAnsi="宋体" w:cs="宋体"/>
          <w:kern w:val="0"/>
          <w:sz w:val="24"/>
          <w:szCs w:val="24"/>
        </w:rPr>
      </w:pPr>
    </w:p>
    <w:p w:rsidR="00DA3C20" w:rsidRDefault="00E9336A" w:rsidP="00351D11">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DA3C20" w:rsidRDefault="00E9336A" w:rsidP="00601642">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DA3C20" w:rsidSect="00DA3C2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06B" w:rsidRDefault="003E006B" w:rsidP="00DA3C20">
      <w:r>
        <w:separator/>
      </w:r>
    </w:p>
  </w:endnote>
  <w:endnote w:type="continuationSeparator" w:id="1">
    <w:p w:rsidR="003E006B" w:rsidRDefault="003E006B" w:rsidP="00DA3C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20" w:rsidRDefault="00601642">
    <w:pPr>
      <w:pStyle w:val="a6"/>
      <w:framePr w:wrap="around" w:vAnchor="text" w:hAnchor="margin" w:xAlign="center" w:y="1"/>
      <w:rPr>
        <w:rStyle w:val="aa"/>
      </w:rPr>
    </w:pPr>
    <w:r>
      <w:fldChar w:fldCharType="begin"/>
    </w:r>
    <w:r w:rsidR="00E9336A">
      <w:rPr>
        <w:rStyle w:val="aa"/>
      </w:rPr>
      <w:instrText xml:space="preserve">PAGE  </w:instrText>
    </w:r>
    <w:r>
      <w:fldChar w:fldCharType="end"/>
    </w:r>
  </w:p>
  <w:p w:rsidR="00DA3C20" w:rsidRDefault="00DA3C2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20" w:rsidRDefault="00DA3C2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06B" w:rsidRDefault="003E006B" w:rsidP="00DA3C20">
      <w:r>
        <w:separator/>
      </w:r>
    </w:p>
  </w:footnote>
  <w:footnote w:type="continuationSeparator" w:id="1">
    <w:p w:rsidR="003E006B" w:rsidRDefault="003E006B" w:rsidP="00DA3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20" w:rsidRDefault="00DA3C2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20" w:rsidRDefault="00DA3C2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921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44BFF"/>
    <w:rsid w:val="000470C2"/>
    <w:rsid w:val="0005474A"/>
    <w:rsid w:val="00061725"/>
    <w:rsid w:val="000857E6"/>
    <w:rsid w:val="00095B95"/>
    <w:rsid w:val="000A3711"/>
    <w:rsid w:val="000B59A3"/>
    <w:rsid w:val="000D5066"/>
    <w:rsid w:val="000E6ACE"/>
    <w:rsid w:val="000F6191"/>
    <w:rsid w:val="00103D08"/>
    <w:rsid w:val="001159BA"/>
    <w:rsid w:val="001279EA"/>
    <w:rsid w:val="00130CE8"/>
    <w:rsid w:val="0014449D"/>
    <w:rsid w:val="00152201"/>
    <w:rsid w:val="00167653"/>
    <w:rsid w:val="00172A27"/>
    <w:rsid w:val="001735BA"/>
    <w:rsid w:val="00176636"/>
    <w:rsid w:val="00183C84"/>
    <w:rsid w:val="001B497D"/>
    <w:rsid w:val="001C05F9"/>
    <w:rsid w:val="001C4DF0"/>
    <w:rsid w:val="001C5395"/>
    <w:rsid w:val="001D1FBB"/>
    <w:rsid w:val="001E2EEA"/>
    <w:rsid w:val="001E5905"/>
    <w:rsid w:val="001E7120"/>
    <w:rsid w:val="001F2842"/>
    <w:rsid w:val="00211F26"/>
    <w:rsid w:val="00224D9D"/>
    <w:rsid w:val="002263FC"/>
    <w:rsid w:val="002448E3"/>
    <w:rsid w:val="00247A0A"/>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17C4"/>
    <w:rsid w:val="003379A9"/>
    <w:rsid w:val="00346BE1"/>
    <w:rsid w:val="0035030B"/>
    <w:rsid w:val="00350ADF"/>
    <w:rsid w:val="00351D11"/>
    <w:rsid w:val="00353B09"/>
    <w:rsid w:val="00355623"/>
    <w:rsid w:val="003658B9"/>
    <w:rsid w:val="00387F9B"/>
    <w:rsid w:val="003A0419"/>
    <w:rsid w:val="003B7361"/>
    <w:rsid w:val="003C4D3B"/>
    <w:rsid w:val="003D4B6E"/>
    <w:rsid w:val="003E006B"/>
    <w:rsid w:val="003E09EA"/>
    <w:rsid w:val="003E412C"/>
    <w:rsid w:val="003F0AC3"/>
    <w:rsid w:val="00406B07"/>
    <w:rsid w:val="00456251"/>
    <w:rsid w:val="004568D2"/>
    <w:rsid w:val="0046794D"/>
    <w:rsid w:val="004A2DC3"/>
    <w:rsid w:val="004B5DED"/>
    <w:rsid w:val="004C1607"/>
    <w:rsid w:val="004C42AC"/>
    <w:rsid w:val="004E621E"/>
    <w:rsid w:val="004F2359"/>
    <w:rsid w:val="004F313C"/>
    <w:rsid w:val="005069D8"/>
    <w:rsid w:val="0051077F"/>
    <w:rsid w:val="00522858"/>
    <w:rsid w:val="0056162E"/>
    <w:rsid w:val="00563B93"/>
    <w:rsid w:val="00567DB3"/>
    <w:rsid w:val="0058745C"/>
    <w:rsid w:val="00587C27"/>
    <w:rsid w:val="00594CF2"/>
    <w:rsid w:val="005B3434"/>
    <w:rsid w:val="005B3C9E"/>
    <w:rsid w:val="005B7384"/>
    <w:rsid w:val="005D5ED6"/>
    <w:rsid w:val="005E0686"/>
    <w:rsid w:val="005E2884"/>
    <w:rsid w:val="005E40C5"/>
    <w:rsid w:val="005E5050"/>
    <w:rsid w:val="005F2C7B"/>
    <w:rsid w:val="005F4D04"/>
    <w:rsid w:val="005F7DA9"/>
    <w:rsid w:val="00601642"/>
    <w:rsid w:val="006054F8"/>
    <w:rsid w:val="0065419A"/>
    <w:rsid w:val="00654220"/>
    <w:rsid w:val="00663B94"/>
    <w:rsid w:val="00677F66"/>
    <w:rsid w:val="00695B9F"/>
    <w:rsid w:val="006A77A0"/>
    <w:rsid w:val="006B0D3E"/>
    <w:rsid w:val="006C1014"/>
    <w:rsid w:val="006D1F54"/>
    <w:rsid w:val="006E4E94"/>
    <w:rsid w:val="006F69B2"/>
    <w:rsid w:val="007017D8"/>
    <w:rsid w:val="00704674"/>
    <w:rsid w:val="00730BEE"/>
    <w:rsid w:val="0073101E"/>
    <w:rsid w:val="00735153"/>
    <w:rsid w:val="00745421"/>
    <w:rsid w:val="00745F96"/>
    <w:rsid w:val="007632E2"/>
    <w:rsid w:val="00774E0A"/>
    <w:rsid w:val="00782F29"/>
    <w:rsid w:val="007A4219"/>
    <w:rsid w:val="007B066E"/>
    <w:rsid w:val="007B08DF"/>
    <w:rsid w:val="007C415F"/>
    <w:rsid w:val="007E0B6E"/>
    <w:rsid w:val="007E4637"/>
    <w:rsid w:val="007E68A3"/>
    <w:rsid w:val="00800690"/>
    <w:rsid w:val="0080200C"/>
    <w:rsid w:val="00814110"/>
    <w:rsid w:val="0082040E"/>
    <w:rsid w:val="0082561A"/>
    <w:rsid w:val="008273FB"/>
    <w:rsid w:val="00843949"/>
    <w:rsid w:val="00846B2E"/>
    <w:rsid w:val="00853412"/>
    <w:rsid w:val="0085663C"/>
    <w:rsid w:val="00870717"/>
    <w:rsid w:val="008768AB"/>
    <w:rsid w:val="0088110A"/>
    <w:rsid w:val="008870FD"/>
    <w:rsid w:val="008904CC"/>
    <w:rsid w:val="008926F7"/>
    <w:rsid w:val="008A7510"/>
    <w:rsid w:val="008C78BD"/>
    <w:rsid w:val="008D1B73"/>
    <w:rsid w:val="008F099C"/>
    <w:rsid w:val="008F0FA3"/>
    <w:rsid w:val="008F1AB3"/>
    <w:rsid w:val="00900D90"/>
    <w:rsid w:val="009354D6"/>
    <w:rsid w:val="00950650"/>
    <w:rsid w:val="009566E6"/>
    <w:rsid w:val="00956754"/>
    <w:rsid w:val="009679B0"/>
    <w:rsid w:val="00970A98"/>
    <w:rsid w:val="00977E89"/>
    <w:rsid w:val="009A4E58"/>
    <w:rsid w:val="009A4E79"/>
    <w:rsid w:val="009B1695"/>
    <w:rsid w:val="009B2EEF"/>
    <w:rsid w:val="009C6A99"/>
    <w:rsid w:val="009C781F"/>
    <w:rsid w:val="009D5296"/>
    <w:rsid w:val="009E6170"/>
    <w:rsid w:val="009F1FD4"/>
    <w:rsid w:val="009F4338"/>
    <w:rsid w:val="00A204A0"/>
    <w:rsid w:val="00A4484F"/>
    <w:rsid w:val="00A66D8E"/>
    <w:rsid w:val="00A748DB"/>
    <w:rsid w:val="00A76D4B"/>
    <w:rsid w:val="00A77C47"/>
    <w:rsid w:val="00A9119C"/>
    <w:rsid w:val="00A93E3C"/>
    <w:rsid w:val="00A94A56"/>
    <w:rsid w:val="00AA4549"/>
    <w:rsid w:val="00AA5B04"/>
    <w:rsid w:val="00AC5144"/>
    <w:rsid w:val="00B01908"/>
    <w:rsid w:val="00B13014"/>
    <w:rsid w:val="00B17559"/>
    <w:rsid w:val="00B23430"/>
    <w:rsid w:val="00B23E1D"/>
    <w:rsid w:val="00B33978"/>
    <w:rsid w:val="00B33B19"/>
    <w:rsid w:val="00B404E6"/>
    <w:rsid w:val="00B4360D"/>
    <w:rsid w:val="00B43AEC"/>
    <w:rsid w:val="00B43E89"/>
    <w:rsid w:val="00B570BA"/>
    <w:rsid w:val="00B61EA9"/>
    <w:rsid w:val="00B670D1"/>
    <w:rsid w:val="00B74DCA"/>
    <w:rsid w:val="00BC3903"/>
    <w:rsid w:val="00BD66CD"/>
    <w:rsid w:val="00BE47E0"/>
    <w:rsid w:val="00BF3D9D"/>
    <w:rsid w:val="00BF75C8"/>
    <w:rsid w:val="00C1762E"/>
    <w:rsid w:val="00C20F36"/>
    <w:rsid w:val="00C25123"/>
    <w:rsid w:val="00C2582A"/>
    <w:rsid w:val="00C30A48"/>
    <w:rsid w:val="00C375A7"/>
    <w:rsid w:val="00C44DFE"/>
    <w:rsid w:val="00C62DF8"/>
    <w:rsid w:val="00C640FB"/>
    <w:rsid w:val="00C86023"/>
    <w:rsid w:val="00C94EBA"/>
    <w:rsid w:val="00CB054E"/>
    <w:rsid w:val="00CC52D7"/>
    <w:rsid w:val="00CD79D3"/>
    <w:rsid w:val="00CE4DED"/>
    <w:rsid w:val="00CF7900"/>
    <w:rsid w:val="00D17916"/>
    <w:rsid w:val="00D23AB6"/>
    <w:rsid w:val="00D24D42"/>
    <w:rsid w:val="00D50309"/>
    <w:rsid w:val="00D51AA9"/>
    <w:rsid w:val="00D55A00"/>
    <w:rsid w:val="00D7264A"/>
    <w:rsid w:val="00D84E43"/>
    <w:rsid w:val="00D870DF"/>
    <w:rsid w:val="00DA30A0"/>
    <w:rsid w:val="00DA3C20"/>
    <w:rsid w:val="00DB0C2F"/>
    <w:rsid w:val="00DB3BF6"/>
    <w:rsid w:val="00DB56A2"/>
    <w:rsid w:val="00DC31CC"/>
    <w:rsid w:val="00DC728A"/>
    <w:rsid w:val="00DD2F3C"/>
    <w:rsid w:val="00DD65B5"/>
    <w:rsid w:val="00DE2EC8"/>
    <w:rsid w:val="00DF5BDF"/>
    <w:rsid w:val="00DF6907"/>
    <w:rsid w:val="00E1059D"/>
    <w:rsid w:val="00E155DF"/>
    <w:rsid w:val="00E246E1"/>
    <w:rsid w:val="00E314CE"/>
    <w:rsid w:val="00E514EB"/>
    <w:rsid w:val="00E52823"/>
    <w:rsid w:val="00E52B10"/>
    <w:rsid w:val="00E600D0"/>
    <w:rsid w:val="00E7192D"/>
    <w:rsid w:val="00E9336A"/>
    <w:rsid w:val="00E944FA"/>
    <w:rsid w:val="00E9797A"/>
    <w:rsid w:val="00EB0055"/>
    <w:rsid w:val="00EB0DB4"/>
    <w:rsid w:val="00EC11A5"/>
    <w:rsid w:val="00EE0436"/>
    <w:rsid w:val="00EE5457"/>
    <w:rsid w:val="00EF6CF0"/>
    <w:rsid w:val="00F4042F"/>
    <w:rsid w:val="00F41324"/>
    <w:rsid w:val="00F57C12"/>
    <w:rsid w:val="00F609FD"/>
    <w:rsid w:val="00F64BD9"/>
    <w:rsid w:val="00F7052D"/>
    <w:rsid w:val="00F70FB4"/>
    <w:rsid w:val="00F771E3"/>
    <w:rsid w:val="00F8162C"/>
    <w:rsid w:val="00F859AB"/>
    <w:rsid w:val="00F950D0"/>
    <w:rsid w:val="00FA0110"/>
    <w:rsid w:val="00FA2C26"/>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5A1578"/>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2B0783"/>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C2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A3C20"/>
    <w:rPr>
      <w:b/>
      <w:bCs/>
    </w:rPr>
  </w:style>
  <w:style w:type="paragraph" w:styleId="a4">
    <w:name w:val="annotation text"/>
    <w:basedOn w:val="a"/>
    <w:link w:val="Char0"/>
    <w:uiPriority w:val="99"/>
    <w:unhideWhenUsed/>
    <w:qFormat/>
    <w:rsid w:val="00DA3C20"/>
    <w:pPr>
      <w:jc w:val="left"/>
    </w:pPr>
  </w:style>
  <w:style w:type="paragraph" w:styleId="a5">
    <w:name w:val="Balloon Text"/>
    <w:basedOn w:val="a"/>
    <w:link w:val="Char1"/>
    <w:uiPriority w:val="99"/>
    <w:unhideWhenUsed/>
    <w:qFormat/>
    <w:rsid w:val="00DA3C20"/>
    <w:rPr>
      <w:sz w:val="18"/>
      <w:szCs w:val="18"/>
    </w:rPr>
  </w:style>
  <w:style w:type="paragraph" w:styleId="a6">
    <w:name w:val="footer"/>
    <w:basedOn w:val="a"/>
    <w:link w:val="Char2"/>
    <w:uiPriority w:val="99"/>
    <w:unhideWhenUsed/>
    <w:qFormat/>
    <w:rsid w:val="00DA3C2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A3C2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A3C20"/>
    <w:pPr>
      <w:snapToGrid w:val="0"/>
      <w:jc w:val="left"/>
    </w:pPr>
    <w:rPr>
      <w:sz w:val="18"/>
    </w:rPr>
  </w:style>
  <w:style w:type="paragraph" w:styleId="a9">
    <w:name w:val="Normal (Web)"/>
    <w:basedOn w:val="a"/>
    <w:qFormat/>
    <w:rsid w:val="00DA3C2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A3C20"/>
  </w:style>
  <w:style w:type="character" w:styleId="ab">
    <w:name w:val="annotation reference"/>
    <w:uiPriority w:val="99"/>
    <w:unhideWhenUsed/>
    <w:qFormat/>
    <w:rsid w:val="00DA3C20"/>
    <w:rPr>
      <w:sz w:val="21"/>
      <w:szCs w:val="21"/>
    </w:rPr>
  </w:style>
  <w:style w:type="character" w:styleId="ac">
    <w:name w:val="footnote reference"/>
    <w:uiPriority w:val="99"/>
    <w:unhideWhenUsed/>
    <w:qFormat/>
    <w:rsid w:val="00DA3C20"/>
    <w:rPr>
      <w:vertAlign w:val="superscript"/>
    </w:rPr>
  </w:style>
  <w:style w:type="character" w:customStyle="1" w:styleId="Char1">
    <w:name w:val="批注框文本 Char"/>
    <w:link w:val="a5"/>
    <w:uiPriority w:val="99"/>
    <w:semiHidden/>
    <w:qFormat/>
    <w:rsid w:val="00DA3C20"/>
    <w:rPr>
      <w:kern w:val="2"/>
      <w:sz w:val="18"/>
      <w:szCs w:val="18"/>
    </w:rPr>
  </w:style>
  <w:style w:type="character" w:customStyle="1" w:styleId="Char3">
    <w:name w:val="页眉 Char"/>
    <w:link w:val="a7"/>
    <w:uiPriority w:val="99"/>
    <w:semiHidden/>
    <w:qFormat/>
    <w:locked/>
    <w:rsid w:val="00DA3C20"/>
    <w:rPr>
      <w:rFonts w:ascii="Times New Roman" w:hAnsi="Times New Roman" w:cs="Times New Roman" w:hint="default"/>
      <w:sz w:val="18"/>
      <w:szCs w:val="18"/>
    </w:rPr>
  </w:style>
  <w:style w:type="character" w:customStyle="1" w:styleId="Char">
    <w:name w:val="批注主题 Char"/>
    <w:link w:val="a3"/>
    <w:uiPriority w:val="99"/>
    <w:semiHidden/>
    <w:qFormat/>
    <w:rsid w:val="00DA3C20"/>
    <w:rPr>
      <w:b/>
      <w:bCs/>
      <w:kern w:val="2"/>
      <w:sz w:val="21"/>
      <w:szCs w:val="22"/>
    </w:rPr>
  </w:style>
  <w:style w:type="character" w:customStyle="1" w:styleId="Char2">
    <w:name w:val="页脚 Char"/>
    <w:link w:val="a6"/>
    <w:uiPriority w:val="99"/>
    <w:semiHidden/>
    <w:qFormat/>
    <w:locked/>
    <w:rsid w:val="00DA3C20"/>
    <w:rPr>
      <w:rFonts w:ascii="Times New Roman" w:hAnsi="Times New Roman" w:cs="Times New Roman" w:hint="default"/>
      <w:sz w:val="18"/>
      <w:szCs w:val="18"/>
    </w:rPr>
  </w:style>
  <w:style w:type="character" w:customStyle="1" w:styleId="Char0">
    <w:name w:val="批注文字 Char"/>
    <w:link w:val="a4"/>
    <w:uiPriority w:val="99"/>
    <w:qFormat/>
    <w:rsid w:val="00DA3C20"/>
    <w:rPr>
      <w:kern w:val="2"/>
      <w:sz w:val="21"/>
      <w:szCs w:val="22"/>
    </w:rPr>
  </w:style>
  <w:style w:type="paragraph" w:customStyle="1" w:styleId="zhongyaotishi">
    <w:name w:val="zhongyaotishi"/>
    <w:basedOn w:val="a"/>
    <w:qFormat/>
    <w:rsid w:val="00DA3C2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A3C2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A3C2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A3C2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A3C2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A3C20"/>
    <w:pPr>
      <w:widowControl w:val="0"/>
      <w:jc w:val="center"/>
    </w:pPr>
    <w:rPr>
      <w:kern w:val="2"/>
      <w:sz w:val="33"/>
      <w:szCs w:val="22"/>
    </w:rPr>
  </w:style>
  <w:style w:type="paragraph" w:customStyle="1" w:styleId="biaogeleft">
    <w:name w:val="biaoge_left"/>
    <w:basedOn w:val="a"/>
    <w:qFormat/>
    <w:rsid w:val="00DA3C2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A3C2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A3C2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A3C2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A3C2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A3C20"/>
    <w:pPr>
      <w:widowControl w:val="0"/>
    </w:pPr>
    <w:rPr>
      <w:kern w:val="2"/>
      <w:sz w:val="21"/>
      <w:szCs w:val="22"/>
    </w:rPr>
  </w:style>
  <w:style w:type="paragraph" w:customStyle="1" w:styleId="neirong">
    <w:name w:val="neirong"/>
    <w:basedOn w:val="a"/>
    <w:qFormat/>
    <w:rsid w:val="00DA3C2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A3C20"/>
    <w:pPr>
      <w:jc w:val="both"/>
    </w:pPr>
    <w:rPr>
      <w:kern w:val="2"/>
      <w:sz w:val="21"/>
      <w:szCs w:val="21"/>
    </w:rPr>
  </w:style>
  <w:style w:type="paragraph" w:customStyle="1" w:styleId="Default">
    <w:name w:val="Default"/>
    <w:qFormat/>
    <w:rsid w:val="00DA3C2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554</Words>
  <Characters>3164</Characters>
  <Application>Microsoft Office Word</Application>
  <DocSecurity>0</DocSecurity>
  <Lines>26</Lines>
  <Paragraphs>7</Paragraphs>
  <ScaleCrop>false</ScaleCrop>
  <Company>微软中国</Company>
  <LinksUpToDate>false</LinksUpToDate>
  <CharactersWithSpaces>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糜格宇</cp:lastModifiedBy>
  <cp:revision>33</cp:revision>
  <cp:lastPrinted>2019-09-11T00:56:00Z</cp:lastPrinted>
  <dcterms:created xsi:type="dcterms:W3CDTF">2022-08-03T07:54:00Z</dcterms:created>
  <dcterms:modified xsi:type="dcterms:W3CDTF">2024-04-28T08:46:00Z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