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南银理财珠联璧合理财管理计划4号开放式公募人民币理财产品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南银理财珠联璧合理财管理计划4号开放式公募人民币理财产品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Z7003220000017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2020年10月22日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4,833,490,329.75</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110.22%</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万家基金管理有限公司,中粮信托有限责任公司,兴业基金管理有限公司,天弘基金管理有限公司,招商基金管理有限公司,鑫元基金管理有限公司,易方达基金管理有限公司,景顺长城基金管理有限公司,交银施罗德基金管理有限公司,江苏省国际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4,503,658,899.64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1.1278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1.1278</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182,528.90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949,033,545.45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1.1293</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下一阶段，基本面和资金面仍然是债券市场的核心驱动因素。当前基本面阶段性触底或是较为确定，目前我国经济回升向好、动力增强，高质量发展扎实推进，但仍面临有效需求不足、社会预期偏弱等挑战，基本面对债券市场有支撑；稳增长基调下，货币政策导向积极稳健，债券市场风险可控。此外，今年以来机构行为的修正也降低了债券市场负反馈出现的概率。</w:t>
        <w:br w:type="textWrapping" w:clear="all"/>
      </w:r>
      <w:r>
        <w:rPr>
          <w:rFonts w:ascii="方正仿宋简体" w:eastAsia="方正仿宋简体" w:hint="eastAsia"/>
          <w:sz w:val="24"/>
          <w:szCs w:val="24"/>
        </w:rPr>
        <w:t>  本产品为客户周期型、开放式理财产品，在保证产品流动性安全的基础上，通过持有信用资质较好、绝对收益相对较高的江浙等发达省市信用债作为底仓，获取稳定可靠的票息收益；同时适时、适度采用杠杆、久期等工具进一步获取收益增厚。在债市延续震荡走势、风险总体可控的判断下，本产品将依据市场走势，于调整前后适时摆布产品杠杆水平予以应对。往后看，产品持续关注票息资产价值，组合久期保持中性，适时调整杠杆水平，以应对市场震荡走势。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平稳度过市场各关键时点，流动性状况较好。下阶段，产品将继续维持合理的流动性资产比例，做好负债端现金流的跟踪与研判，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Z11005份额净值为1.1278元，Z11006份额净值为1.1293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350,039,414.03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165,077,955.22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032100633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21襄阳高新PPN002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151,136,550.00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19民生银行永续债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151,030,500.00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102100327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21方洋MTN001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120,815,520.00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032280039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22栖霞山PPN001(项目收益)</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100,867,600.00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032280241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22扬州经开PPN001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100,611,700.00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210207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21国开07</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100,376,100.00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197253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21黄岛01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177764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21溧开02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0120060000000472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南京银行理财管理计划4号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275,029,357.94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1,574,762,394.52</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337,000,000.00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1,613,669.53</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19,469,639.88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