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黑体简体" w:hAnsi="黑体" w:eastAsia="方正黑体简体" w:cs="黑体"/>
          <w:b/>
          <w:bCs/>
          <w:sz w:val="32"/>
          <w:szCs w:val="32"/>
        </w:rPr>
      </w:pPr>
      <w:r>
        <w:rPr>
          <w:rFonts w:hint="eastAsia" w:ascii="方正黑体简体" w:hAnsi="黑体" w:eastAsia="方正黑体简体" w:cs="黑体"/>
          <w:b/>
          <w:bCs/>
          <w:sz w:val="32"/>
          <w:szCs w:val="32"/>
        </w:rPr>
        <w:t>南银理财珠联璧合理财管理计划3号开放式公募人民币理财产品（Z11001）2024年05月06日开放公告</w:t>
      </w:r>
    </w:p>
    <w:p>
      <w:pPr>
        <w:widowControl w:val="0"/>
        <w:spacing w:line="360" w:lineRule="auto"/>
        <w:jc w:val="left"/>
        <w:rPr>
          <w:rFonts w:ascii="方正仿宋简体" w:hAnsi="仿宋" w:eastAsia="方正仿宋简体" w:cs="仿宋"/>
          <w:szCs w:val="21"/>
        </w:rPr>
      </w:pPr>
      <w:r>
        <w:rPr>
          <w:rFonts w:hint="eastAsia" w:ascii="方正仿宋简体" w:hAnsi="仿宋" w:eastAsia="方正仿宋简体" w:cs="仿宋"/>
          <w:szCs w:val="21"/>
        </w:rPr>
        <w:t>尊敬的投资者：</w:t>
      </w:r>
    </w:p>
    <w:p>
      <w:pPr>
        <w:widowControl w:val="0"/>
        <w:spacing w:line="360" w:lineRule="auto"/>
        <w:ind w:firstLine="420"/>
        <w:jc w:val="left"/>
        <w:rPr>
          <w:rFonts w:ascii="方正仿宋简体" w:hAnsi="仿宋" w:eastAsia="方正仿宋简体" w:cs="仿宋"/>
          <w:szCs w:val="21"/>
        </w:rPr>
      </w:pPr>
      <w:r>
        <w:rPr>
          <w:rFonts w:hint="eastAsia" w:ascii="方正仿宋简体" w:hAnsi="仿宋" w:eastAsia="方正仿宋简体" w:cs="仿宋"/>
          <w:szCs w:val="21"/>
        </w:rPr>
        <w:t>南银理财理财管理计划3号（产品登记编码Z7003220000015，内部销售代码Z11001）成立于2020年10月21日。</w:t>
      </w:r>
    </w:p>
    <w:p>
      <w:pPr>
        <w:widowControl w:val="0"/>
        <w:spacing w:line="360" w:lineRule="auto"/>
        <w:ind w:firstLine="420"/>
        <w:jc w:val="left"/>
        <w:rPr>
          <w:rFonts w:ascii="方正仿宋简体" w:hAnsi="仿宋" w:eastAsia="方正仿宋简体" w:cs="仿宋"/>
          <w:szCs w:val="21"/>
        </w:rPr>
      </w:pPr>
      <w:r>
        <w:rPr>
          <w:rFonts w:hint="eastAsia" w:ascii="方正仿宋简体" w:hAnsi="仿宋" w:eastAsia="方正仿宋简体" w:cs="仿宋"/>
          <w:szCs w:val="21"/>
        </w:rPr>
        <w:t>后续申购赎回安排：</w:t>
      </w:r>
    </w:p>
    <w:tbl>
      <w:tblPr>
        <w:tblStyle w:val="6"/>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3104"/>
        <w:gridCol w:w="1958"/>
        <w:gridCol w:w="1793"/>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04" w:type="dxa"/>
            <w:vAlign w:val="center"/>
          </w:tcPr>
          <w:p>
            <w:pPr>
              <w:widowControl w:val="0"/>
              <w:spacing w:before="62" w:beforeLines="20" w:after="62" w:afterLines="20"/>
              <w:jc w:val="center"/>
              <w:rPr>
                <w:rFonts w:ascii="方正仿宋简体" w:hAnsi="仿宋" w:eastAsia="方正仿宋简体" w:cs="仿宋"/>
                <w:szCs w:val="21"/>
              </w:rPr>
            </w:pPr>
            <w:r>
              <w:rPr>
                <w:rFonts w:hint="eastAsia" w:ascii="方正仿宋简体" w:hAnsi="仿宋" w:eastAsia="方正仿宋简体" w:cs="仿宋"/>
                <w:szCs w:val="21"/>
              </w:rPr>
              <w:t>申购起止日</w:t>
            </w:r>
          </w:p>
        </w:tc>
        <w:tc>
          <w:tcPr>
            <w:tcW w:w="1958" w:type="dxa"/>
            <w:vAlign w:val="center"/>
          </w:tcPr>
          <w:p>
            <w:pPr>
              <w:widowControl w:val="0"/>
              <w:spacing w:before="62" w:beforeLines="20" w:after="62" w:afterLines="20"/>
              <w:jc w:val="center"/>
              <w:rPr>
                <w:rFonts w:ascii="方正仿宋简体" w:hAnsi="仿宋" w:eastAsia="方正仿宋简体" w:cs="仿宋"/>
                <w:szCs w:val="21"/>
              </w:rPr>
            </w:pPr>
            <w:r>
              <w:rPr>
                <w:rFonts w:hint="eastAsia" w:ascii="方正仿宋简体" w:hAnsi="仿宋" w:eastAsia="方正仿宋简体" w:cs="仿宋"/>
                <w:szCs w:val="21"/>
              </w:rPr>
              <w:t>运作起始日</w:t>
            </w:r>
          </w:p>
        </w:tc>
        <w:tc>
          <w:tcPr>
            <w:tcW w:w="1793" w:type="dxa"/>
            <w:vAlign w:val="center"/>
          </w:tcPr>
          <w:p>
            <w:pPr>
              <w:widowControl w:val="0"/>
              <w:spacing w:before="62" w:beforeLines="20" w:after="62" w:afterLines="20"/>
              <w:jc w:val="center"/>
              <w:rPr>
                <w:rFonts w:ascii="方正仿宋简体" w:hAnsi="仿宋" w:eastAsia="方正仿宋简体" w:cs="仿宋"/>
                <w:szCs w:val="21"/>
              </w:rPr>
            </w:pPr>
            <w:r>
              <w:rPr>
                <w:rFonts w:hint="eastAsia" w:ascii="方正仿宋简体" w:hAnsi="仿宋" w:eastAsia="方正仿宋简体" w:cs="仿宋"/>
                <w:szCs w:val="21"/>
              </w:rPr>
              <w:t>自动赎回日</w:t>
            </w:r>
          </w:p>
        </w:tc>
        <w:tc>
          <w:tcPr>
            <w:tcW w:w="2047" w:type="dxa"/>
            <w:vAlign w:val="center"/>
          </w:tcPr>
          <w:p>
            <w:pPr>
              <w:widowControl w:val="0"/>
              <w:spacing w:before="62" w:beforeLines="20" w:after="62" w:afterLines="20"/>
              <w:jc w:val="center"/>
              <w:rPr>
                <w:rFonts w:ascii="方正仿宋简体" w:hAnsi="仿宋" w:eastAsia="方正仿宋简体" w:cs="仿宋"/>
                <w:szCs w:val="21"/>
              </w:rPr>
            </w:pPr>
            <w:r>
              <w:rPr>
                <w:rFonts w:hint="eastAsia" w:ascii="方正仿宋简体" w:hAnsi="仿宋" w:eastAsia="方正仿宋简体" w:cs="仿宋"/>
                <w:szCs w:val="21"/>
              </w:rPr>
              <w:t>客户份额实际持有天数（天）</w:t>
            </w:r>
          </w:p>
        </w:tc>
      </w:tr>
      <w:tr>
        <w:trPr>
          <w:jc w:val="center"/>
        </w:trPr>
        <w:tc>
          <w:tcPr>
            <w:tcW w:w="3104"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2024/04/30-2024/05/07</w:t>
            </w:r>
          </w:p>
        </w:tc>
        <w:tc>
          <w:tcPr>
            <w:tcW w:w="1958"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2024-05-08</w:t>
            </w:r>
          </w:p>
        </w:tc>
        <w:tc>
          <w:tcPr>
            <w:tcW w:w="179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2024-08-07</w:t>
            </w:r>
          </w:p>
        </w:tc>
        <w:tc>
          <w:tcPr>
            <w:tcW w:w="204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3104"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2024/05/08-2024/05/14</w:t>
            </w:r>
          </w:p>
        </w:tc>
        <w:tc>
          <w:tcPr>
            <w:tcW w:w="1958"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2024-05-15</w:t>
            </w:r>
          </w:p>
        </w:tc>
        <w:tc>
          <w:tcPr>
            <w:tcW w:w="179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2024-08-14</w:t>
            </w:r>
          </w:p>
        </w:tc>
        <w:tc>
          <w:tcPr>
            <w:tcW w:w="204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3104"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2024/05/15-2024/05/21</w:t>
            </w:r>
          </w:p>
        </w:tc>
        <w:tc>
          <w:tcPr>
            <w:tcW w:w="1958"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2024-05-22</w:t>
            </w:r>
          </w:p>
        </w:tc>
        <w:tc>
          <w:tcPr>
            <w:tcW w:w="179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2024-08-21</w:t>
            </w:r>
          </w:p>
        </w:tc>
        <w:tc>
          <w:tcPr>
            <w:tcW w:w="204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3104"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2024/05/22-2024/05/28</w:t>
            </w:r>
          </w:p>
        </w:tc>
        <w:tc>
          <w:tcPr>
            <w:tcW w:w="1958"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2024-05-29</w:t>
            </w:r>
          </w:p>
        </w:tc>
        <w:tc>
          <w:tcPr>
            <w:tcW w:w="179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2024-08-28</w:t>
            </w:r>
          </w:p>
        </w:tc>
        <w:tc>
          <w:tcPr>
            <w:tcW w:w="204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3104"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2024/05/29-2024/06/04</w:t>
            </w:r>
          </w:p>
        </w:tc>
        <w:tc>
          <w:tcPr>
            <w:tcW w:w="1958"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2024-06-05</w:t>
            </w:r>
          </w:p>
        </w:tc>
        <w:tc>
          <w:tcPr>
            <w:tcW w:w="179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2024-09-04</w:t>
            </w:r>
          </w:p>
        </w:tc>
        <w:tc>
          <w:tcPr>
            <w:tcW w:w="204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3104"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2024/06/05-2024/06/11</w:t>
            </w:r>
          </w:p>
        </w:tc>
        <w:tc>
          <w:tcPr>
            <w:tcW w:w="1958"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2024-06-12</w:t>
            </w:r>
          </w:p>
        </w:tc>
        <w:tc>
          <w:tcPr>
            <w:tcW w:w="179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2024-09-11</w:t>
            </w:r>
          </w:p>
        </w:tc>
        <w:tc>
          <w:tcPr>
            <w:tcW w:w="204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bl>
    <w:p>
      <w:pPr>
        <w:widowControl w:val="0"/>
        <w:rPr>
          <w:rFonts w:ascii="方正仿宋简体" w:hAnsi="仿宋" w:eastAsia="方正仿宋简体" w:cs="仿宋"/>
          <w:szCs w:val="21"/>
        </w:rPr>
      </w:pPr>
    </w:p>
    <w:p>
      <w:pPr>
        <w:widowControl w:val="0"/>
        <w:spacing w:line="360" w:lineRule="auto"/>
        <w:ind w:firstLine="420"/>
        <w:jc w:val="left"/>
        <w:rPr>
          <w:rFonts w:ascii="方正仿宋简体" w:hAnsi="仿宋" w:eastAsia="方正仿宋简体" w:cs="仿宋"/>
          <w:szCs w:val="21"/>
        </w:rPr>
      </w:pPr>
      <w:r>
        <w:rPr>
          <w:rFonts w:hint="eastAsia" w:ascii="方正仿宋简体" w:hAnsi="仿宋" w:eastAsia="方正仿宋简体" w:cs="仿宋"/>
          <w:szCs w:val="21"/>
        </w:rPr>
        <w:t>历史开放信息：</w:t>
      </w:r>
    </w:p>
    <w:tbl>
      <w:tblPr>
        <w:tblStyle w:val="6"/>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933"/>
        <w:gridCol w:w="1059"/>
        <w:gridCol w:w="1517"/>
        <w:gridCol w:w="1743"/>
        <w:gridCol w:w="1135"/>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1" w:hRule="atLeast"/>
          <w:jc w:val="center"/>
        </w:trPr>
        <w:tc>
          <w:tcPr>
            <w:tcW w:w="1933" w:type="dxa"/>
            <w:vAlign w:val="center"/>
          </w:tcPr>
          <w:p>
            <w:pPr>
              <w:widowControl w:val="0"/>
              <w:spacing w:before="62" w:beforeLines="20" w:after="62" w:afterLines="20"/>
              <w:jc w:val="center"/>
              <w:rPr>
                <w:rFonts w:ascii="方正仿宋简体" w:hAnsi="仿宋" w:eastAsia="方正仿宋简体" w:cs="仿宋"/>
                <w:szCs w:val="21"/>
              </w:rPr>
            </w:pPr>
            <w:r>
              <w:rPr>
                <w:rFonts w:hint="eastAsia" w:ascii="方正仿宋简体" w:hAnsi="仿宋" w:eastAsia="方正仿宋简体" w:cs="仿宋"/>
                <w:szCs w:val="21"/>
              </w:rPr>
              <w:t>运作起始日</w:t>
            </w:r>
          </w:p>
        </w:tc>
        <w:tc>
          <w:tcPr>
            <w:tcW w:w="1059" w:type="dxa"/>
            <w:vAlign w:val="center"/>
          </w:tcPr>
          <w:p>
            <w:pPr>
              <w:widowControl w:val="0"/>
              <w:spacing w:before="62" w:beforeLines="20" w:after="62" w:afterLines="20"/>
              <w:jc w:val="center"/>
              <w:rPr>
                <w:rFonts w:ascii="方正仿宋简体" w:hAnsi="仿宋" w:eastAsia="方正仿宋简体" w:cs="仿宋"/>
                <w:szCs w:val="21"/>
              </w:rPr>
            </w:pPr>
            <w:r>
              <w:rPr>
                <w:rFonts w:hint="eastAsia" w:ascii="方正仿宋简体" w:hAnsi="仿宋" w:eastAsia="方正仿宋简体" w:cs="仿宋"/>
                <w:szCs w:val="21"/>
              </w:rPr>
              <w:t>申购确认单位净值（元）/申购价格（元/份）</w:t>
            </w:r>
          </w:p>
        </w:tc>
        <w:tc>
          <w:tcPr>
            <w:tcW w:w="1517" w:type="dxa"/>
            <w:vAlign w:val="center"/>
          </w:tcPr>
          <w:p>
            <w:pPr>
              <w:widowControl w:val="0"/>
              <w:spacing w:before="62" w:beforeLines="20" w:after="62" w:afterLines="20"/>
              <w:jc w:val="center"/>
              <w:rPr>
                <w:rFonts w:ascii="方正仿宋简体" w:hAnsi="仿宋" w:eastAsia="方正仿宋简体" w:cs="仿宋"/>
                <w:szCs w:val="21"/>
              </w:rPr>
            </w:pPr>
            <w:r>
              <w:rPr>
                <w:rFonts w:hint="eastAsia" w:ascii="方正仿宋简体" w:hAnsi="仿宋" w:eastAsia="方正仿宋简体" w:cs="仿宋"/>
                <w:szCs w:val="21"/>
              </w:rPr>
              <w:t>每份额累计净值（元）</w:t>
            </w:r>
          </w:p>
        </w:tc>
        <w:tc>
          <w:tcPr>
            <w:tcW w:w="1743" w:type="dxa"/>
            <w:vAlign w:val="center"/>
          </w:tcPr>
          <w:p>
            <w:pPr>
              <w:widowControl w:val="0"/>
              <w:spacing w:before="62" w:beforeLines="20" w:after="62" w:afterLines="20"/>
              <w:jc w:val="center"/>
              <w:rPr>
                <w:rFonts w:ascii="方正仿宋简体" w:hAnsi="仿宋" w:eastAsia="方正仿宋简体" w:cs="仿宋"/>
                <w:szCs w:val="21"/>
              </w:rPr>
            </w:pPr>
            <w:r>
              <w:rPr>
                <w:rFonts w:hint="eastAsia" w:ascii="方正仿宋简体" w:hAnsi="仿宋" w:eastAsia="方正仿宋简体" w:cs="仿宋"/>
                <w:szCs w:val="21"/>
              </w:rPr>
              <w:t>自动赎回日</w:t>
            </w:r>
          </w:p>
        </w:tc>
        <w:tc>
          <w:tcPr>
            <w:tcW w:w="1135" w:type="dxa"/>
            <w:vAlign w:val="center"/>
          </w:tcPr>
          <w:p>
            <w:pPr>
              <w:widowControl w:val="0"/>
              <w:spacing w:before="62" w:beforeLines="20" w:after="62" w:afterLines="20"/>
              <w:jc w:val="center"/>
              <w:rPr>
                <w:rFonts w:ascii="方正仿宋简体" w:hAnsi="仿宋" w:eastAsia="方正仿宋简体" w:cs="仿宋"/>
                <w:szCs w:val="21"/>
              </w:rPr>
            </w:pPr>
            <w:r>
              <w:rPr>
                <w:rFonts w:hint="eastAsia" w:ascii="方正仿宋简体" w:hAnsi="仿宋" w:eastAsia="方正仿宋简体" w:cs="仿宋"/>
                <w:szCs w:val="21"/>
              </w:rPr>
              <w:t>赎回确认单位净值（元）/赎回价格（元/份）</w:t>
            </w:r>
          </w:p>
        </w:tc>
        <w:tc>
          <w:tcPr>
            <w:tcW w:w="1515" w:type="dxa"/>
            <w:vAlign w:val="center"/>
          </w:tcPr>
          <w:p>
            <w:pPr>
              <w:widowControl w:val="0"/>
              <w:spacing w:before="62" w:beforeLines="20" w:after="62" w:afterLines="20"/>
              <w:jc w:val="center"/>
              <w:rPr>
                <w:rFonts w:ascii="方正仿宋简体" w:hAnsi="仿宋" w:eastAsia="方正仿宋简体" w:cs="仿宋"/>
                <w:szCs w:val="21"/>
              </w:rPr>
            </w:pPr>
            <w:r>
              <w:rPr>
                <w:rFonts w:hint="eastAsia" w:ascii="方正仿宋简体" w:hAnsi="仿宋" w:eastAsia="方正仿宋简体" w:cs="仿宋"/>
                <w:szCs w:val="21"/>
              </w:rPr>
              <w:t>客户份额实际持有天数（天）</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2024-04-30</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1.1310</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1.1310</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2024-07-30</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2024-04-24</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1.1309</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1.1309</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2024-07-24</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2024-04-17</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1.1299</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1.1299</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2024-07-17</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2024-04-10</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1.1291</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1.1291</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2024-07-10</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2024-04-03</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1.1284</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1.1284</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2024-07-03</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2024-03-27</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1.1276</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1.1276</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2024-06-26</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2024-03-20</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1.1272</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1.1272</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2024-06-19</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2024-03-13</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1.1270</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1.1270</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2024-06-12</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2024-03-06</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1.1267</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1.1267</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2024-06-05</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2024-02-28</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1.1261</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1.1261</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2024-05-29</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2024-02-21</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1.1245</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1.1245</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2024-05-22</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2024-02-07</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1.1231</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1.1231</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2024-05-08</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91</w:t>
            </w:r>
          </w:p>
        </w:tc>
      </w:tr>
      <w:tr>
        <w:trPr>
          <w:jc w:val="center"/>
        </w:trPr>
        <w:tc>
          <w:tcPr>
            <w:tcW w:w="193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2024-01-31</w:t>
            </w:r>
          </w:p>
        </w:tc>
        <w:tc>
          <w:tcPr>
            <w:tcW w:w="1059"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1.1223</w:t>
            </w:r>
          </w:p>
        </w:tc>
        <w:tc>
          <w:tcPr>
            <w:tcW w:w="1517"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1.1223</w:t>
            </w:r>
          </w:p>
        </w:tc>
        <w:tc>
          <w:tcPr>
            <w:tcW w:w="1743"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2024-05-06</w:t>
            </w:r>
          </w:p>
        </w:tc>
        <w:tc>
          <w:tcPr>
            <w:tcW w:w="113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1.1310</w:t>
            </w:r>
          </w:p>
        </w:tc>
        <w:tc>
          <w:tcPr>
            <w:tcW w:w="1515" w:type="dxa"/>
            <w:vAlign w:val="center"/>
            <w:vAlign w:val="center"/>
          </w:tcPr>
          <w:p>
            <w:pPr>
              <w:widowControl w:val="0"/>
              <w:spacing w:before="62" w:beforeLines="20" w:after="62" w:afterLines="20"/>
              <w:jc w:val="center"/>
              <w:textAlignment w:val="center"/>
              <w:rPr>
                <w:rFonts w:ascii="方正仿宋简体" w:hAnsi="仿宋" w:eastAsia="方正仿宋简体" w:cs="仿宋"/>
                <w:szCs w:val="21"/>
              </w:rPr>
            </w:pPr>
            <w:r>
              <w:rPr>
                <w:rFonts w:ascii="方正仿宋简体" w:hAnsi="方正仿宋简体" w:cs="方正仿宋简体" w:eastAsia="方正仿宋简体"/>
              </w:rPr>
              <w:t>96</w:t>
            </w:r>
          </w:p>
        </w:tc>
      </w:tr>
    </w:tbl>
    <w:p>
      <w:pPr>
        <w:widowControl w:val="0"/>
        <w:spacing w:line="360" w:lineRule="auto"/>
        <w:ind w:firstLine="105" w:firstLineChars="50"/>
        <w:jc w:val="left"/>
        <w:rPr>
          <w:rFonts w:ascii="方正仿宋简体" w:hAnsi="仿宋" w:eastAsia="方正仿宋简体" w:cs="仿宋"/>
          <w:szCs w:val="21"/>
        </w:rPr>
      </w:pPr>
      <w:r>
        <w:rPr>
          <w:rFonts w:hint="eastAsia" w:ascii="方正仿宋简体" w:hAnsi="仿宋" w:eastAsia="方正仿宋简体" w:cs="仿宋"/>
          <w:szCs w:val="21"/>
        </w:rPr>
        <w:t>注：1.申购确认单位净值指运作起始日前一工作日的产品单位净值。累计每份额净值指从产品成立至运作起始日前一工作日的产品累计净值。实际收益以客户收到金额为准。</w:t>
      </w:r>
    </w:p>
    <w:p>
      <w:pPr>
        <w:widowControl w:val="0"/>
        <w:spacing w:line="360" w:lineRule="auto"/>
        <w:ind w:firstLine="420"/>
        <w:jc w:val="left"/>
        <w:rPr>
          <w:rFonts w:ascii="方正仿宋简体" w:hAnsi="仿宋" w:eastAsia="方正仿宋简体" w:cs="仿宋"/>
          <w:szCs w:val="21"/>
        </w:rPr>
      </w:pPr>
      <w:r>
        <w:rPr>
          <w:rFonts w:hint="eastAsia" w:ascii="方正仿宋简体" w:hAnsi="仿宋" w:eastAsia="方正仿宋简体" w:cs="仿宋"/>
          <w:szCs w:val="21"/>
        </w:rPr>
        <w:t>2.客户份额实际持有天数为该份额运作起始日（含）至自动</w:t>
      </w:r>
      <w:bookmarkStart w:id="0" w:name="_GoBack"/>
      <w:bookmarkEnd w:id="0"/>
      <w:r>
        <w:rPr>
          <w:rFonts w:hint="eastAsia" w:ascii="方正仿宋简体" w:hAnsi="仿宋" w:eastAsia="方正仿宋简体" w:cs="仿宋"/>
          <w:szCs w:val="21"/>
        </w:rPr>
        <w:t>赎回日（不含）之间的天数。</w:t>
      </w:r>
    </w:p>
    <w:p>
      <w:pPr>
        <w:widowControl w:val="0"/>
        <w:spacing w:line="360" w:lineRule="auto"/>
        <w:ind w:firstLine="420"/>
        <w:jc w:val="left"/>
        <w:rPr>
          <w:rFonts w:ascii="方正仿宋简体" w:hAnsi="仿宋" w:eastAsia="方正仿宋简体" w:cs="仿宋"/>
          <w:szCs w:val="21"/>
        </w:rPr>
      </w:pPr>
      <w:r>
        <w:rPr>
          <w:rFonts w:hint="eastAsia" w:ascii="方正仿宋简体" w:hAnsi="仿宋" w:eastAsia="方正仿宋简体" w:cs="仿宋"/>
          <w:szCs w:val="21"/>
        </w:rPr>
        <w:t>3.赎回金额将于自动赎回日后5个工作日内到账，自动赎回日至资金到账日之间不计息。</w:t>
      </w:r>
    </w:p>
    <w:p>
      <w:pPr>
        <w:widowControl w:val="0"/>
        <w:spacing w:line="360" w:lineRule="auto"/>
        <w:ind w:firstLine="420"/>
        <w:jc w:val="left"/>
        <w:rPr>
          <w:rFonts w:ascii="方正仿宋简体" w:hAnsi="仿宋" w:eastAsia="方正仿宋简体" w:cs="仿宋"/>
          <w:szCs w:val="21"/>
        </w:rPr>
      </w:pPr>
      <w:r>
        <w:rPr>
          <w:rFonts w:hint="eastAsia" w:ascii="方正仿宋简体" w:hAnsi="仿宋" w:eastAsia="方正仿宋简体" w:cs="仿宋"/>
          <w:szCs w:val="21"/>
        </w:rPr>
        <w:t>4.运作起始日如遇节假日将重新调整并公告；自动赎回日如遇节假日将顺延至下一工作日，客户份额实际持有天数将延长，具体以公告为准。</w:t>
      </w:r>
    </w:p>
    <w:p>
      <w:pPr>
        <w:widowControl w:val="0"/>
        <w:spacing w:line="360" w:lineRule="auto"/>
        <w:ind w:firstLine="420"/>
        <w:jc w:val="left"/>
        <w:rPr>
          <w:rFonts w:ascii="方正仿宋简体" w:hAnsi="仿宋" w:eastAsia="方正仿宋简体" w:cs="仿宋"/>
          <w:szCs w:val="21"/>
        </w:rPr>
      </w:pPr>
      <w:r>
        <w:rPr>
          <w:rFonts w:hint="eastAsia" w:ascii="方正仿宋简体" w:hAnsi="仿宋" w:eastAsia="方正仿宋简体" w:cs="仿宋"/>
          <w:szCs w:val="21"/>
        </w:rPr>
        <w:t>5.业绩报酬（如有）按产品说明书约定收取，赎回确认单位净值/赎回价格已扣除业绩报酬。</w:t>
      </w:r>
    </w:p>
    <w:p>
      <w:pPr>
        <w:widowControl w:val="0"/>
        <w:spacing w:line="360" w:lineRule="auto"/>
        <w:ind w:firstLine="420" w:firstLineChars="200"/>
        <w:rPr>
          <w:rFonts w:ascii="方正仿宋简体" w:hAnsi="仿宋" w:eastAsia="方正仿宋简体" w:cs="仿宋"/>
          <w:szCs w:val="21"/>
        </w:rPr>
      </w:pPr>
      <w:r>
        <w:rPr>
          <w:rFonts w:hint="eastAsia" w:ascii="方正仿宋简体" w:hAnsi="仿宋" w:eastAsia="方正仿宋简体" w:cs="仿宋"/>
          <w:szCs w:val="21"/>
        </w:rPr>
        <w:t>如您对本公告有任何疑问，可联系本理财产品代销机构或本公司，代销机构及本公司将竭诚为您服务。感谢您一直以来对本公司的支持与信赖！</w:t>
      </w:r>
    </w:p>
    <w:p>
      <w:pPr>
        <w:widowControl w:val="0"/>
        <w:spacing w:line="360" w:lineRule="auto"/>
        <w:ind w:firstLine="420"/>
        <w:jc w:val="left"/>
        <w:rPr>
          <w:rFonts w:ascii="方正仿宋简体" w:hAnsi="仿宋" w:eastAsia="方正仿宋简体" w:cs="仿宋"/>
          <w:szCs w:val="21"/>
        </w:rPr>
      </w:pPr>
      <w:r>
        <w:rPr>
          <w:rFonts w:hint="eastAsia" w:ascii="方正仿宋简体" w:hAnsi="仿宋" w:eastAsia="方正仿宋简体" w:cs="仿宋"/>
          <w:szCs w:val="21"/>
        </w:rPr>
        <w:t>特此公告。</w:t>
      </w:r>
    </w:p>
    <w:p>
      <w:pPr>
        <w:widowControl w:val="0"/>
        <w:spacing w:line="360" w:lineRule="auto"/>
        <w:ind w:firstLine="420"/>
        <w:jc w:val="right"/>
        <w:rPr>
          <w:rFonts w:ascii="方正仿宋简体" w:hAnsi="仿宋" w:eastAsia="方正仿宋简体" w:cs="仿宋"/>
          <w:szCs w:val="21"/>
        </w:rPr>
      </w:pPr>
      <w:r>
        <w:rPr>
          <w:rFonts w:hint="eastAsia" w:ascii="方正仿宋简体" w:hAnsi="仿宋" w:eastAsia="方正仿宋简体" w:cs="仿宋"/>
          <w:szCs w:val="21"/>
        </w:rPr>
        <w:t xml:space="preserve">     南银理财有限责任公司</w:t>
      </w:r>
    </w:p>
    <w:p>
      <w:pPr>
        <w:widowControl w:val="0"/>
        <w:spacing w:line="360" w:lineRule="auto"/>
        <w:ind w:firstLine="420"/>
        <w:jc w:val="right"/>
        <w:rPr>
          <w:rFonts w:ascii="方正仿宋简体" w:hAnsi="仿宋" w:eastAsia="方正仿宋简体" w:cs="仿宋"/>
          <w:szCs w:val="21"/>
        </w:rPr>
      </w:pPr>
      <w:r>
        <w:rPr>
          <w:rFonts w:hint="eastAsia" w:ascii="方正仿宋简体" w:hAnsi="仿宋" w:eastAsia="方正仿宋简体" w:cs="仿宋"/>
          <w:szCs w:val="21"/>
        </w:rPr>
        <w:t xml:space="preserve"/>
      </w:r>
      <w:r>
        <w:rPr>
          <w:rFonts w:hint="eastAsia" w:ascii="方正仿宋简体" w:hAnsi="仿宋" w:eastAsia="方正仿宋简体" w:cs="仿宋"/>
          <w:szCs w:val="21"/>
          <w:lang w:val="en-US" w:eastAsia="zh-CN"/>
        </w:rPr>
        <w:t/>
      </w:r>
      <w:r>
        <w:rPr>
          <w:rFonts w:hint="eastAsia" w:ascii="方正仿宋简体" w:hAnsi="仿宋" w:eastAsia="方正仿宋简体" w:cs="仿宋"/>
          <w:szCs w:val="21"/>
        </w:rPr>
        <w:t xml:space="preserve">               2024年05月06日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Arial Unicode MS"/>
    <w:panose1 w:val="00000000000000000000"/>
    <w:charset w:val="86"/>
    <w:family w:val="script"/>
    <w:pitch w:val="default"/>
    <w:sig w:usb0="00000000" w:usb1="00000000" w:usb2="00000000" w:usb3="00000000" w:csb0="00040000" w:csb1="00000000"/>
  </w:font>
  <w:font w:name="方正仿宋简体">
    <w:altName w:val="Arial Unicode MS"/>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3Y2RlNzU3MDRjYmMwNjllZTFlNzU3ODhjOWI2NjUifQ=="/>
  </w:docVars>
  <w:rsids>
    <w:rsidRoot w:val="00C87E3A"/>
    <w:rsid w:val="001C3F30"/>
    <w:rsid w:val="00380A38"/>
    <w:rsid w:val="003B389A"/>
    <w:rsid w:val="00413305"/>
    <w:rsid w:val="0097263D"/>
    <w:rsid w:val="00BD3811"/>
    <w:rsid w:val="00C87E3A"/>
    <w:rsid w:val="00CE7DDE"/>
    <w:rsid w:val="00D37F92"/>
    <w:rsid w:val="00D82DA2"/>
    <w:rsid w:val="0C54178D"/>
    <w:rsid w:val="18D93306"/>
    <w:rsid w:val="1E3B30FD"/>
    <w:rsid w:val="1F4E2A98"/>
    <w:rsid w:val="334F6696"/>
    <w:rsid w:val="40E94765"/>
    <w:rsid w:val="4B0B609E"/>
    <w:rsid w:val="50867528"/>
    <w:rsid w:val="54897862"/>
    <w:rsid w:val="5D6023BC"/>
    <w:rsid w:val="64EC143C"/>
    <w:rsid w:val="73FD5349"/>
    <w:rsid w:val="74A5291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qFormat/>
    <w:uiPriority w:val="0"/>
    <w:rPr>
      <w:rFonts w:ascii="Times New Roman" w:hAnsi="Times New Roman" w:eastAsia="宋体" w:cs="Times New Roman"/>
      <w:kern w:val="2"/>
      <w:sz w:val="18"/>
      <w:szCs w:val="18"/>
    </w:rPr>
  </w:style>
  <w:style w:type="character" w:customStyle="1" w:styleId="8">
    <w:name w:val="页脚 Char"/>
    <w:basedOn w:val="4"/>
    <w:link w:val="2"/>
    <w:qFormat/>
    <w:uiPriority w:val="0"/>
    <w:rPr>
      <w:rFonts w:ascii="Times New Roman" w:hAnsi="Times New Roman" w:eastAsia="宋体" w:cs="Times New Roman"/>
      <w:kern w:val="2"/>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513</Words>
  <Characters>880</Characters>
  <Lines>6</Lines>
  <Paragraphs>1</Paragraphs>
  <ScaleCrop>false</ScaleCrop>
  <LinksUpToDate>false</LinksUpToDate>
  <CharactersWithSpaces>900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2022-08-01T09:31:00Z</dcterms:created>
  <dc:creator>Administrator</dc:creator>
  <cp:lastModifiedBy>兆尹科技</cp:lastModifiedBy>
  <dcterms:modified xsi:type="dcterms:W3CDTF">2024-02-06T07:57:01Z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4F594D92E53B4DE2AB03E80230764CBF</vt:lpwstr>
  </property>
</Properties>
</file>