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南银理财珠联璧合鑫悦享月月盈公募人民币理财产品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南银理财珠联璧合鑫悦享月月盈公募人民币理财产品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Z7003220000010（投资者可依据该编码在中国理财网www.chinawealth.com.cn查询理财产品相关信息）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2019年09月26日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3,428,911,525.66份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101.74%</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中粮信托有限责任公司,国投泰康信托有限公司,鑫沅资产管理有限公司,陆家嘴国际信托有限公司,平安资产管理有限责任公司,太平洋资产管理有限责任公司,江苏省国际信托有限责任公司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Z40002</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3,562,416,884.83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1.0904</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1.1825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29,549.06</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Z40007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25,174,612.87</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1.0965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1.1236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Z41002</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151,745,454.02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1.0909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1.0909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Z42002</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10,173.29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1.0898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1.0898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此背景下，对于合意的信用债资产保持积极配置。</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截至报告期末，本产品Z40002份额净值为1.0905元，Z40007份额净值为1.0966元，Z41002份额净值为1.0910元，Z42002份额净值为1.0899元。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98.61</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1.39</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ZJQTT202205310001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太平洋稳健理财三号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454,318,821.34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12.15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ZJQTT202311080001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441,760,576.72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11.81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XJCKX202212020001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农业银行活期存款</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191,546,419.05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162142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19嵊州03</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110,026,224.23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ZJQTT202210120003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平安资产如意52号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102,184,968.92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DQCKX202405090001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中国银行定期存款20240509A</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162394</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19惠投02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99,811,509.79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ZJQTT202204260021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江苏信托南银1号集合资金信托计划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95,784,874.38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151762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19嵊州02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83,489,700.00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196284</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22宁玄01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2.14</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0120040000000331</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南京银行鑫悦享月月盈</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60,000,000.00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386,068.73</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2,960,799.00</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