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_GBK" w:eastAsia="方正黑体_GBK"/>
          <w:sz w:val="36"/>
          <w:szCs w:val="36"/>
        </w:rPr>
      </w:pPr>
      <w:r>
        <w:rPr>
          <w:rFonts w:hint="eastAsia" w:ascii="方正黑体_GBK" w:eastAsia="方正黑体_GBK"/>
          <w:sz w:val="36"/>
          <w:szCs w:val="36"/>
        </w:rPr>
        <w:t>南银理财珠联璧合安稳1902一年定开公募人民币理财产品</w:t>
      </w:r>
    </w:p>
    <w:p>
      <w:pPr>
        <w:spacing w:before="240" w:after="72" w:line="360" w:lineRule="auto"/>
        <w:jc w:val="center"/>
        <w:rPr>
          <w:rFonts w:ascii="方正黑体_GBK" w:eastAsia="方正黑体_GBK"/>
          <w:sz w:val="36"/>
          <w:szCs w:val="36"/>
        </w:rPr>
      </w:pPr>
      <w:r>
        <w:rPr>
          <w:rFonts w:hint="eastAsia" w:ascii="方正黑体_GBK" w:eastAsia="方正黑体_GBK"/>
          <w:sz w:val="36"/>
          <w:szCs w:val="36"/>
        </w:rPr>
        <w:t>2022年第4季度报告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产品管理人:南银理财有限责任公司</w:t>
      </w: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产品托管人:南京银行股份有限公司</w:t>
      </w:r>
    </w:p>
    <w:p>
      <w:pPr>
        <w:spacing w:before="240" w:after="72" w:line="360" w:lineRule="auto"/>
        <w:jc w:val="center"/>
        <w:rPr>
          <w:rFonts w:ascii="方正黑体简体" w:eastAsia="方正黑体简体"/>
          <w:sz w:val="36"/>
          <w:szCs w:val="36"/>
        </w:rPr>
      </w:pPr>
      <w:r>
        <w:rPr>
          <w:rFonts w:hint="eastAsia" w:ascii="方正黑体简体" w:eastAsia="方正黑体简体"/>
          <w:sz w:val="36"/>
          <w:szCs w:val="36"/>
        </w:rPr>
        <w:t xml:space="preserve"> </w:t>
      </w: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_GBK" w:hAnsi="宋体" w:eastAsia="方正仿宋_GBK" w:cs="宋体"/>
          <w:kern w:val="0"/>
          <w:sz w:val="24"/>
          <w:szCs w:val="24"/>
        </w:rPr>
      </w:pPr>
      <w:r>
        <w:rPr>
          <w:rFonts w:hint="eastAsia" w:ascii="方正仿宋_GBK" w:hAnsi="Calibri" w:eastAsia="方正仿宋_GBK"/>
          <w:b/>
        </w:rPr>
        <w:t xml:space="preserve">§1 </w:t>
      </w:r>
      <w:r>
        <w:rPr>
          <w:rFonts w:hint="eastAsia" w:ascii="方正仿宋_GBK" w:hAnsi="Calibri" w:eastAsia="方正仿宋_GBK"/>
          <w:b/>
          <w:sz w:val="24"/>
          <w:szCs w:val="24"/>
        </w:rPr>
        <w:t>产品概况</w:t>
      </w:r>
    </w:p>
    <w:tbl>
      <w:tblPr>
        <w:tblStyle w:val="5"/>
        <w:tblW w:w="8959"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2894"/>
        <w:gridCol w:w="6065"/>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产品全称</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南银理财珠联璧合安稳1902一年定开公募人民币理财产品</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207"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产品登记编码</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Z7003221000027（投资者可依据该编码在中国理财网www.chinawealth.com.cn查询理财产品相关信息）</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产品运作方式</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开放式净值型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产品成立日</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2019年02月20日</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报告期末产品份额总额</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1,404,241,848.47份</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合作机构</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产品管理人</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南银理财有限责任公司</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产品托管人</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§2  主要财务指标和产品</w:t>
      </w:r>
      <w:r>
        <w:rPr>
          <w:rFonts w:hint="eastAsia" w:ascii="方正仿宋_GBK" w:eastAsia="方正仿宋_GBK"/>
          <w:b/>
          <w:sz w:val="24"/>
          <w:szCs w:val="24"/>
        </w:rPr>
        <w:t>业绩比较基准</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2.1 主要财务指标</w:t>
      </w:r>
    </w:p>
    <w:p>
      <w:pPr>
        <w:spacing w:before="240" w:after="72" w:line="360" w:lineRule="auto"/>
        <w:jc w:val="right"/>
        <w:rPr>
          <w:rFonts w:ascii="方正仿宋_GBK" w:eastAsia="方正仿宋_GBK"/>
          <w:sz w:val="24"/>
          <w:szCs w:val="24"/>
        </w:rPr>
      </w:pPr>
      <w:r>
        <w:rPr>
          <w:rFonts w:hint="eastAsia" w:ascii="方正仿宋_GBK" w:eastAsia="方正仿宋_GBK" w:cs="宋体"/>
          <w:kern w:val="0"/>
          <w:sz w:val="24"/>
          <w:szCs w:val="24"/>
        </w:rPr>
        <w:t>单位：人民币元</w:t>
      </w:r>
    </w:p>
    <w:tbl>
      <w:tblPr>
        <w:tblStyle w:val="5"/>
        <w:tblpPr w:leftFromText="180" w:rightFromText="180" w:vertAnchor="text" w:tblpXSpec="center" w:tblpY="1"/>
        <w:tblOverlap w:val="never"/>
        <w:tblW w:w="9067"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2296"/>
        <w:gridCol w:w="2705"/>
        <w:gridCol w:w="2030"/>
        <w:gridCol w:w="2036"/>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_GBK" w:eastAsia="方正仿宋_GBK"/>
                <w:sz w:val="24"/>
                <w:szCs w:val="24"/>
              </w:rPr>
            </w:pPr>
            <w:r>
              <w:rPr>
                <w:rFonts w:hint="eastAsia" w:ascii="方正仿宋_GBK" w:eastAsia="方正仿宋_GBK"/>
                <w:sz w:val="24"/>
                <w:szCs w:val="24"/>
              </w:rPr>
              <w:t>内部销售代码</w:t>
            </w:r>
          </w:p>
        </w:tc>
        <w:tc>
          <w:tcPr>
            <w:tcW w:w="6771" w:type="dxa"/>
            <w:gridSpan w:val="3"/>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报告期（2022年10月01日 - 2022年12月31日）</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_GBK" w:eastAsia="方正仿宋_GBK"/>
                <w:sz w:val="24"/>
                <w:szCs w:val="24"/>
              </w:rPr>
            </w:pPr>
          </w:p>
        </w:tc>
        <w:tc>
          <w:tcPr>
            <w:tcW w:w="2705"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1.期末产品最后一个市场交易日资产净值</w:t>
            </w:r>
          </w:p>
        </w:tc>
        <w:tc>
          <w:tcPr>
            <w:tcW w:w="2030"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2.期末产品最后一个市场交易日份额净值</w:t>
            </w:r>
          </w:p>
        </w:tc>
        <w:tc>
          <w:tcPr>
            <w:tcW w:w="2036"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3.期末产品最后一个市场交易日份额累计净值</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2296" w:type="dxa"/>
            <w:vAlign w:val="center"/>
          </w:tcPr>
          <w:p>
            <w:pPr>
              <w:spacing w:before="48" w:beforeLines="20" w:after="48" w:afterLines="20" w:line="360" w:lineRule="auto"/>
              <w:jc w:val="center"/>
              <w:textAlignment w:val="center"/>
              <w:rPr>
                <w:rFonts w:ascii="方正仿宋_GBK" w:eastAsia="方正仿宋_GBK"/>
                <w:sz w:val="24"/>
                <w:szCs w:val="24"/>
                <w:shd w:val="clear" w:color="auto" w:fill="FFFFFF"/>
              </w:rPr>
            </w:pPr>
            <w:r>
              <w:rPr>
                <w:rFonts w:ascii="方正仿宋_GBK" w:hAnsi="方正仿宋_GBK" w:eastAsia="方正仿宋_GBK" w:cs="方正仿宋_GBK"/>
                <w:sz w:val="24"/>
              </w:rPr>
              <w:t>Z10022</w:t>
            </w:r>
          </w:p>
        </w:tc>
        <w:tc>
          <w:tcPr>
            <w:tcW w:w="2705"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1,444,354,103.25</w:t>
            </w:r>
          </w:p>
        </w:tc>
        <w:tc>
          <w:tcPr>
            <w:tcW w:w="2030"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1.0285</w:t>
            </w:r>
          </w:p>
        </w:tc>
        <w:tc>
          <w:tcPr>
            <w:tcW w:w="2036"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1.1749</w:t>
            </w:r>
          </w:p>
        </w:tc>
      </w:tr>
    </w:tbl>
    <w:p>
      <w:pPr>
        <w:pStyle w:val="10"/>
        <w:spacing w:before="240" w:after="72" w:line="360" w:lineRule="auto"/>
        <w:ind w:left="0"/>
        <w:rPr>
          <w:color w:val="000000"/>
        </w:rPr>
      </w:pPr>
      <w:r>
        <w:rPr>
          <w:rFonts w:hint="eastAsia" w:ascii="方正仿宋_GBK" w:eastAsia="方正仿宋_GBK" w:hAnsiTheme="minorHAnsi" w:cstheme="minorBidi"/>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b/>
          <w:sz w:val="24"/>
          <w:szCs w:val="24"/>
        </w:rPr>
      </w:pPr>
      <w:r>
        <w:rPr>
          <w:rFonts w:hint="eastAsia" w:ascii="方正仿宋_GBK" w:eastAsia="方正仿宋_GBK"/>
          <w:b/>
          <w:sz w:val="24"/>
          <w:szCs w:val="24"/>
        </w:rPr>
        <w:t>2.2 产品业绩比较基准</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2.2.1本报告期产品业绩比较基准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4616"/>
        <w:gridCol w:w="1964"/>
        <w:gridCol w:w="2322"/>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PrEx>
        <w:trPr>
          <w:jc w:val="center"/>
        </w:trPr>
        <w:tc>
          <w:tcPr>
            <w:tcW w:w="4616"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阶段</w:t>
            </w:r>
          </w:p>
        </w:tc>
        <w:tc>
          <w:tcPr>
            <w:tcW w:w="1964"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内部销售代码</w:t>
            </w:r>
          </w:p>
        </w:tc>
        <w:tc>
          <w:tcPr>
            <w:tcW w:w="2322"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业绩比较基准</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4616"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2022年10月01日 - 2022年12月31日</w:t>
            </w:r>
          </w:p>
        </w:tc>
        <w:tc>
          <w:tcPr>
            <w:tcW w:w="1964"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Z10022</w:t>
            </w:r>
          </w:p>
        </w:tc>
        <w:tc>
          <w:tcPr>
            <w:tcW w:w="2322"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-0.32%</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§3  管理人报告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3.1 报告期内产品的投资策略和运作分析</w:t>
      </w:r>
      <w:r>
        <w:rPr>
          <w:rFonts w:hint="eastAsia" w:ascii="方正仿宋_GBK" w:eastAsia="方正仿宋_GBK"/>
          <w:b/>
          <w:sz w:val="24"/>
          <w:szCs w:val="24"/>
        </w:rPr>
        <w:tab/>
      </w:r>
    </w:p>
    <w:p>
      <w:pPr>
        <w:spacing w:before="240" w:after="72" w:line="360" w:lineRule="auto"/>
        <w:ind w:firstLine="420"/>
        <w:rPr>
          <w:rFonts w:hint="eastAsia" w:ascii="方正仿宋_GBK" w:eastAsia="方正仿宋_GBK"/>
          <w:sz w:val="24"/>
          <w:szCs w:val="24"/>
        </w:rPr>
      </w:pPr>
      <w:r>
        <w:rPr>
          <w:rFonts w:hint="eastAsia" w:ascii="方正仿宋_GBK" w:eastAsia="方正仿宋_GBK"/>
          <w:sz w:val="24"/>
          <w:szCs w:val="24"/>
        </w:rPr>
        <w:t>四季度期间，基本面数据维持弱势，国内疫情防控优化伴随冬季疫情高发期，感染人数明显增长，对经济活动形成明显的压制影响，外围方面出口下行压力明显增强。政策层面则继续发力对冲经济下行压力，除了疫情防控动态优化，房地产行业政策频出，“三支箭”显示政策端态度期望行业回归稳健正常运行。从市场走势看，由于预期疫情防控优化及地产回暖等，伴随资金面从此前的宽松边际收敛，债市出现调整，随后引发机构踩踏，尤其是信用债打破了此前的资产荒格局。总体来看，四季度利率走势整体呈现了明显的上行，至季末10年期国债收益率上行7bp至2.84%，3年期AA+信用债收益率上行75bp至3.57%。</w:t>
      </w:r>
      <w:r>
        <w:rPr>
          <w:rFonts w:hint="eastAsia" w:ascii="方正仿宋_GBK" w:eastAsia="方正仿宋_GBK"/>
          <w:sz w:val="24"/>
          <w:szCs w:val="24"/>
        </w:rPr>
        <w:br w:type="textWrapping" w:clear="all"/>
      </w:r>
      <w:r>
        <w:rPr>
          <w:rFonts w:hint="eastAsia" w:ascii="方正仿宋_GBK" w:eastAsia="方正仿宋_GBK"/>
          <w:sz w:val="24"/>
          <w:szCs w:val="24"/>
        </w:rPr>
        <w:t xml:space="preserve">    往后看，市场多空因素交织，利率预计维持震荡格局。从利多因素分析来看，第一，为了呵护疫情放开感染高峰时期的基本面以及为开年信贷投放做保障等目的，预计跨年后资金面有望保持平稳偏松；第二，跨年后机构配置需求的自然回归，将对债券资产表现形成支撑。而利空因素则主要为年初信贷开门红、两会前政策发力增长的定调可能会压制机构做多情绪。结合来看，倾向于认为年初债市调整风险可控，利率或高等级次级债、信用债等表现或好于中低等级类信用债。我们会持续关注国内宽信用效果、外部出口压力等数据及两会前后政策层面的变化。</w:t>
      </w:r>
      <w:r>
        <w:rPr>
          <w:rFonts w:hint="eastAsia" w:ascii="方正仿宋_GBK" w:eastAsia="方正仿宋_GBK"/>
          <w:sz w:val="24"/>
          <w:szCs w:val="24"/>
        </w:rPr>
        <w:br w:type="textWrapping" w:clear="all"/>
      </w:r>
      <w:r>
        <w:rPr>
          <w:rFonts w:hint="eastAsia" w:ascii="方正仿宋_GBK" w:eastAsia="方正仿宋_GBK"/>
          <w:sz w:val="24"/>
          <w:szCs w:val="24"/>
        </w:rPr>
        <w:t xml:space="preserve">    本产品为中长期、定期开放式产品，在运作期内积极采用杠杆、久期等工具获取收益增厚。在四季度期间，本产品依据市场行情积极调仓，适时使用杠杆、久期工具，力求为客户获取业绩增厚。往后看，债市多空博弈加剧，整体缺乏方向性。后续操作上产品将以中性策略应</w:t>
      </w:r>
      <w:bookmarkStart w:id="0" w:name="_GoBack"/>
      <w:bookmarkEnd w:id="0"/>
      <w:r>
        <w:rPr>
          <w:rFonts w:hint="eastAsia" w:ascii="方正仿宋_GBK" w:eastAsia="方正仿宋_GBK"/>
          <w:sz w:val="24"/>
          <w:szCs w:val="24"/>
        </w:rPr>
        <w:t>对震荡行情，保持进退空间，静待政策及市场逐步明朗。</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3.2 报告期内产品的流动性风险分析</w:t>
      </w:r>
    </w:p>
    <w:p>
      <w:pPr>
        <w:spacing w:before="240" w:after="72" w:line="360" w:lineRule="auto"/>
        <w:rPr>
          <w:rFonts w:ascii="方正仿宋_GBK" w:eastAsia="方正仿宋_GBK"/>
          <w:sz w:val="24"/>
          <w:szCs w:val="24"/>
        </w:rPr>
      </w:pPr>
      <w:r>
        <w:rPr>
          <w:rFonts w:ascii="方正仿宋_GBK" w:eastAsia="方正仿宋_GBK"/>
          <w:sz w:val="24"/>
          <w:szCs w:val="24"/>
        </w:rPr>
        <w:t>    本产品持仓中维持合理比例高流动性资产，杠杆处于合理水平，流动性状况较好。</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3.3 报告期内产品的业绩表现</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截至报告期末，本产品份额净值为1.0285元。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§4  投资组合报告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4.1 报告期末产品资产组合情况</w:t>
      </w:r>
    </w:p>
    <w:tbl>
      <w:tblPr>
        <w:tblStyle w:val="5"/>
        <w:tblpPr w:leftFromText="180" w:rightFromText="180" w:vertAnchor="text" w:tblpXSpec="center" w:tblpY="1"/>
        <w:tblOverlap w:val="never"/>
        <w:tblW w:w="8895"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745"/>
        <w:gridCol w:w="1859"/>
        <w:gridCol w:w="3002"/>
        <w:gridCol w:w="3289"/>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资产类别</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穿透前占总资产比例</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穿透后占总资产比例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固定收益类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权益类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商品及金融衍生品类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4</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混合类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5</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合计</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b/>
          <w:sz w:val="24"/>
          <w:szCs w:val="24"/>
        </w:rPr>
      </w:pPr>
      <w:r>
        <w:rPr>
          <w:rFonts w:hint="eastAsia" w:ascii="方正仿宋_GBK" w:eastAsia="方正仿宋_GBK"/>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1"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585"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代码</w:t>
            </w:r>
          </w:p>
        </w:tc>
        <w:tc>
          <w:tcPr>
            <w:tcW w:w="272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名称</w:t>
            </w:r>
          </w:p>
        </w:tc>
        <w:tc>
          <w:tcPr>
            <w:tcW w:w="2058"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公允价值（元）</w:t>
            </w:r>
          </w:p>
        </w:tc>
        <w:tc>
          <w:tcPr>
            <w:tcW w:w="1812"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占产品资产净值比例（％）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21088089</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21徐州金龙湖01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200,185,019.96</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13.86</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21088090</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21安吉交通02</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100,088,033.05</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6.93</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22088181</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22江宁经开04</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99,979,770.68</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6.92</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22088192</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22新城投资01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99,979,361.44</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6.92</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22088179</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22金坛建发05</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99,978,612.77</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6.92</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22088198</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22江苏启晟01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79,997,100.34</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5.54</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7</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032000536</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20汤山建设PPN001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50,107,000.00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3.47</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8</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162918</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20太城01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50,000,000.00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3.46</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9</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166354</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20海门01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40,000,283.99</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2.77</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102001575</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20思明国控MTN003</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39,965,040.00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2.77</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_GBK" w:hAnsi="宋体" w:eastAsia="方正仿宋_GBK" w:cs="宋体"/>
          <w:b/>
          <w:sz w:val="24"/>
          <w:szCs w:val="24"/>
          <w:shd w:val="clear" w:color="auto" w:fill="FFFFFF"/>
        </w:rPr>
      </w:pPr>
      <w:r>
        <w:rPr>
          <w:rFonts w:hint="eastAsia" w:ascii="方正仿宋_GBK" w:hAnsi="宋体" w:eastAsia="方正仿宋_GBK" w:cs="宋体"/>
          <w:b/>
          <w:sz w:val="24"/>
          <w:szCs w:val="24"/>
          <w:shd w:val="clear" w:color="auto" w:fill="FFFFFF"/>
        </w:rPr>
        <w:t>4.3报告期末非标准化债权类资产明细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704"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融资客户</w:t>
            </w:r>
          </w:p>
        </w:tc>
        <w:tc>
          <w:tcPr>
            <w:tcW w:w="1275"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项目名称</w:t>
            </w:r>
          </w:p>
        </w:tc>
        <w:tc>
          <w:tcPr>
            <w:tcW w:w="154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剩余融资期限（</w:t>
            </w:r>
            <w:r>
              <w:rPr>
                <w:rFonts w:ascii="方正仿宋_GBK" w:hAnsi="仿宋_GB2312" w:eastAsia="方正仿宋_GBK" w:cs="仿宋_GB2312"/>
                <w:sz w:val="24"/>
                <w:szCs w:val="24"/>
              </w:rPr>
              <w:t>天）</w:t>
            </w:r>
          </w:p>
        </w:tc>
        <w:tc>
          <w:tcPr>
            <w:tcW w:w="1383"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到期收益分配</w:t>
            </w:r>
          </w:p>
        </w:tc>
        <w:tc>
          <w:tcPr>
            <w:tcW w:w="1271"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交易结构</w:t>
            </w:r>
          </w:p>
        </w:tc>
        <w:tc>
          <w:tcPr>
            <w:tcW w:w="1017"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风险状况</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徐州金龙湖控股集团有限公司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21徐州金龙湖01</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54</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按年付息，到期还本</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安吉县交通投资发展集团有限公司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21安吉交通02</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54</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按年付息，到期还本</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江苏世纪新城投资控股集团有限公司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22新城投资01</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52</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江苏金坛建设发展有限公司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22金坛建发05</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49</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南京江宁经济技术开发集团有限公司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22江宁经开04</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49</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江苏启晟集团有限公司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22江苏启晟01</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53</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§5 投资账户信息</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序号</w:t>
            </w:r>
          </w:p>
        </w:tc>
        <w:tc>
          <w:tcPr>
            <w:tcW w:w="1567"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账户类型</w:t>
            </w:r>
          </w:p>
        </w:tc>
        <w:tc>
          <w:tcPr>
            <w:tcW w:w="2668"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账号</w:t>
            </w:r>
          </w:p>
        </w:tc>
        <w:tc>
          <w:tcPr>
            <w:tcW w:w="1983"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账户名称</w:t>
            </w:r>
          </w:p>
        </w:tc>
        <w:tc>
          <w:tcPr>
            <w:tcW w:w="1988"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开户单位</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1</w:t>
            </w:r>
          </w:p>
        </w:tc>
        <w:tc>
          <w:tcPr>
            <w:tcW w:w="1567"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托管账户</w:t>
            </w:r>
          </w:p>
        </w:tc>
        <w:tc>
          <w:tcPr>
            <w:tcW w:w="2668"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0120010000000257</w:t>
            </w:r>
          </w:p>
        </w:tc>
        <w:tc>
          <w:tcPr>
            <w:tcW w:w="1983"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南京银行安稳1902一年定开</w:t>
            </w:r>
          </w:p>
        </w:tc>
        <w:tc>
          <w:tcPr>
            <w:tcW w:w="1988"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§6 关联交易情况</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报告期内，产品投资于关联方发行的证券、关联方作为融资人的非标准化债权类资产业务交易金额0.00元。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产品投资于关联方承销的证券交易金额31,074,027.40元。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产品与关联方作为交易对手开展的投融资业务交易金额154,702,835.62元。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产品投资关联方作为管理人的资产管理产品交易金额0.00元。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产品应支付关联方托管费70,789.40元，应支付关联方代销费676,909.32元。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产品发生其他关联交易金额0.00元。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_GBK" w:hAnsi="Calibri" w:eastAsia="方正仿宋_GBK"/>
          <w:b/>
          <w:sz w:val="24"/>
          <w:szCs w:val="24"/>
        </w:rPr>
      </w:pPr>
      <w:r>
        <w:rPr>
          <w:rFonts w:hint="eastAsia" w:ascii="方正仿宋_GBK" w:hAnsi="Calibri" w:eastAsia="方正仿宋_GBK"/>
          <w:b/>
          <w:sz w:val="24"/>
          <w:szCs w:val="24"/>
        </w:rPr>
        <w:t>南银理财有限责任公司</w:t>
      </w:r>
    </w:p>
    <w:p>
      <w:pPr>
        <w:spacing w:before="240" w:after="72" w:line="360" w:lineRule="auto"/>
        <w:jc w:val="right"/>
        <w:rPr>
          <w:rFonts w:ascii="方正仿宋_GBK" w:eastAsia="方正仿宋_GBK"/>
          <w:b/>
          <w:sz w:val="24"/>
          <w:szCs w:val="24"/>
        </w:rPr>
      </w:pPr>
      <w:r>
        <w:rPr>
          <w:rFonts w:hint="eastAsia" w:ascii="方正仿宋_GBK" w:eastAsia="方正仿宋_GBK"/>
          <w:b/>
          <w:sz w:val="24"/>
          <w:szCs w:val="24"/>
        </w:rPr>
        <w:t>2022年12月31日</w:t>
      </w:r>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panose1 w:val="03000509000000000000"/>
    <w:charset w:val="86"/>
    <w:family w:val="script"/>
    <w:pitch w:val="default"/>
    <w:sig w:usb0="00000001" w:usb1="080E0000" w:usb2="00000000" w:usb3="00000000" w:csb0="00040000" w:csb1="00000000"/>
  </w:font>
  <w:font w:name="方正黑体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YyNWQ5MDZiYWM3OWVhN2E1ZmU3ZDVmOTg3Nzk4MzgifQ=="/>
  </w:docVars>
  <w:rsids>
    <w:rsidRoot w:val="005A7904"/>
    <w:rsid w:val="000044BE"/>
    <w:rsid w:val="000121D1"/>
    <w:rsid w:val="00012CAC"/>
    <w:rsid w:val="000203D8"/>
    <w:rsid w:val="00063EA9"/>
    <w:rsid w:val="00072345"/>
    <w:rsid w:val="00097C35"/>
    <w:rsid w:val="000B288D"/>
    <w:rsid w:val="000B2B7B"/>
    <w:rsid w:val="000B4524"/>
    <w:rsid w:val="000C61EE"/>
    <w:rsid w:val="00106906"/>
    <w:rsid w:val="0013793E"/>
    <w:rsid w:val="00137D06"/>
    <w:rsid w:val="001421A0"/>
    <w:rsid w:val="0015692D"/>
    <w:rsid w:val="001765C7"/>
    <w:rsid w:val="0018311F"/>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50C13"/>
    <w:rsid w:val="0067684D"/>
    <w:rsid w:val="00676A68"/>
    <w:rsid w:val="0068398A"/>
    <w:rsid w:val="00693399"/>
    <w:rsid w:val="00695491"/>
    <w:rsid w:val="006C7930"/>
    <w:rsid w:val="007120E8"/>
    <w:rsid w:val="00714095"/>
    <w:rsid w:val="00717310"/>
    <w:rsid w:val="007347EF"/>
    <w:rsid w:val="007363F8"/>
    <w:rsid w:val="00751294"/>
    <w:rsid w:val="00766941"/>
    <w:rsid w:val="007672C3"/>
    <w:rsid w:val="00794F8E"/>
    <w:rsid w:val="007C0575"/>
    <w:rsid w:val="007C36B2"/>
    <w:rsid w:val="007C3F1F"/>
    <w:rsid w:val="007C7DC4"/>
    <w:rsid w:val="007D7CB7"/>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D038A1"/>
    <w:rsid w:val="00D35825"/>
    <w:rsid w:val="00D36374"/>
    <w:rsid w:val="00D45351"/>
    <w:rsid w:val="00D83890"/>
    <w:rsid w:val="00D95925"/>
    <w:rsid w:val="00DB25C1"/>
    <w:rsid w:val="00DB5077"/>
    <w:rsid w:val="00DD60D3"/>
    <w:rsid w:val="00DE5E66"/>
    <w:rsid w:val="00DE6F49"/>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CC420DD"/>
    <w:rsid w:val="1FC4188E"/>
    <w:rsid w:val="29BE004D"/>
    <w:rsid w:val="509470EC"/>
    <w:rsid w:val="59E74023"/>
    <w:rsid w:val="5EBA334B"/>
    <w:rsid w:val="654F116F"/>
    <w:rsid w:val="67344534"/>
    <w:rsid w:val="6B00012E"/>
    <w:rsid w:val="702871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30" w:afterLines="30"/>
    </w:pPr>
    <w:rPr>
      <w:rFonts w:ascii="Times New Roman" w:hAnsi="Times New Roman" w:eastAsia="宋体" w:cs="Times New Roman"/>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180754A2.dotm</Template>
  <Company>cc</Company>
  <Pages>7</Pages>
  <Words>2593</Words>
  <Characters>3166</Characters>
  <Lines>16</Lines>
  <Paragraphs>4</Paragraphs>
  <TotalTime>23</TotalTime>
  <ScaleCrop>false</ScaleCrop>
  <LinksUpToDate>false</LinksUpToDate>
  <CharactersWithSpaces>3216</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2022-07-23T09:20:00Z</dcterms:created>
  <dc:creator>演示人</dc:creator>
  <cp:lastModifiedBy>笨</cp:lastModifiedBy>
  <dcterms:modified xsi:type="dcterms:W3CDTF">2023-01-16T08:34:56Z</dcterms:modified>
  <cp:revision>119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DA7D07A671F94F61B430BF557E8AE20F</vt:lpwstr>
  </property>
</Properties>
</file>