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南银理财珠联璧合安稳2001一年定开公募人民币理财产品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南银理财珠联璧合安稳2001一年定开公募人民币理财产品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Z7003221000018（投资者可依据该编码在中国理财网www.chinawealth.com.cn查询理财产品相关信息）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2020年01月16日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905,064,871.00份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Z30009</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939,220,395.25</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1.0377</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1.1364</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Z30009</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品依据市场行情积极调仓，适时使用杠杆、久期工具，力求为客户获取业绩增厚。往后看，债市多空博弈加剧，整体缺乏方向性。后续操作上产品将以中性策略应对震荡</w:t>
      </w:r>
      <w:bookmarkStart w:id="0" w:name="_GoBack"/>
      <w:bookmarkEnd w:id="0"/>
      <w:r>
        <w:rPr>
          <w:rFonts w:hint="eastAsia" w:ascii="方正仿宋_GBK" w:eastAsia="方正仿宋_GBK"/>
          <w:sz w:val="24"/>
          <w:szCs w:val="24"/>
        </w:rPr>
        <w:t>行情，保持进退空间，静待政策及市场逐步明朗。</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截至报告期末，本产品份额净值为1.0377元。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22088034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22江宁经开01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175,054,388.37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18.64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22088032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22淮安新城01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100,029,517.31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10.65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22088069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22华宇投资01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90,015,056.21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9.58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102000099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20金坛投资MTN001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60,019,860.00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6.39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22088073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22连云市政01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57,995,629.11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6.17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101800135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18连云港MTN001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50,102,750.00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5.33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177328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20如东02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40,000,340.13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4.26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032000589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20瓯海新城PPN002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37,072,816.00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032191173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21普陀国资PPN002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29,823,300.00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177182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G20安吉2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29,618,528.87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盐城市交通投资建设控股集团有限公司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22盐城交通01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南京江宁经济技术开发集团有限公司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22江宁经开01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淮安新城投资开发有限公司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22淮安新城01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靖江市华宇投资建设有限公司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22华宇投资01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连云港市市政公用有限公司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22连云市政01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0120030000000341</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南京银行安稳2001一年定开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产品投资于关联方承销的证券交易金额15,607,130.14元。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产品与关联方作为交易对手开展的投融资业务交易金额79,203,904.11元。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产品应支付关联方托管费45,625.56元，应支付关联方代销费436,035.84元。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1FE27780"/>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2547</Words>
  <Characters>3123</Characters>
  <Lines>16</Lines>
  <Paragraphs>4</Paragraphs>
  <TotalTime>23</TotalTime>
  <ScaleCrop>false</ScaleCrop>
  <LinksUpToDate>false</LinksUpToDate>
  <CharactersWithSpaces>3173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2023-01-16T08:51:40Z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