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南银理财珠联璧合鑫悦享1908三个月定开公募人民币理财产品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南银理财珠联璧合鑫悦享1908三个月定开公募人民币理财产品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2019年08月22日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6,376,887,288.59份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Z40001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6,443,752,151.35</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1.0422</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1.1401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Z41001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202,460,136.49</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1.0424</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1.0424</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产品始终围绕稳健回报的收益目标进行操作，通过持有信用资质较好、绝对收益相对较高的信用债、银行存款作为底仓，在获取稳定可靠的票息收益同时，保证产品的流动性安全。基于对后市的判断，产品将灵活调整杠杆与久期，实现产品净值在合理区间内保持相对稳定，同时</w:t>
      </w:r>
      <w:bookmarkStart w:id="0" w:name="_GoBack"/>
      <w:bookmarkEnd w:id="0"/>
      <w:r>
        <w:rPr>
          <w:rFonts w:hint="eastAsia" w:ascii="方正仿宋_GBK" w:eastAsia="方正仿宋_GBK" w:hAnsiTheme="minorHAnsi" w:cstheme="minorBidi"/>
          <w:sz w:val="24"/>
          <w:szCs w:val="24"/>
        </w:rPr>
        <w:t>优选套息价值更好的中短端利率与信用债获取超额收益。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截至报告期末，本产品Z40001份额净值为1.0422元，Z41001份额净值为1.0424元。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ZJQTT202202160001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鑫元基金-鑫安利得57号集合资产管理计划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534,365,609.29</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150098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18溧水01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140,308,000.00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102000068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20淮安新城MTN001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114,989,535.00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110,004,070.00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220401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22农发01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100,013,900.00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162220</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19南浔03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100,000,319.80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166874</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20浔发01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121720001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17紫金玄武PRN001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99,456,500.00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031900835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19青山湖PPN001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97,698,700.00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180211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18国开11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90,888,210.00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0120000000000314</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南京银行鑫悦享1908三个月定开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产品投资于关联方承销的证券交易金额533,701,424.94元。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产品与关联方作为交易对手开展的投融资业务交易金额1,302,349,950.70元。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产品投资关联方作为管理人的资产管理产品交易金额380,000,000.00元。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产品应支付关联方托管费322,443.07元，应支付关联方代销费2,947,098.10元。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34924FA2"/>
    <w:rsid w:val="4E0902C6"/>
    <w:rsid w:val="57DD4EC8"/>
    <w:rsid w:val="5B62438E"/>
    <w:rsid w:val="611546EB"/>
    <w:rsid w:val="79FF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1766</Words>
  <Characters>2347</Characters>
  <Lines>14</Lines>
  <Paragraphs>4</Paragraphs>
  <TotalTime>0</TotalTime>
  <ScaleCrop>false</ScaleCrop>
  <LinksUpToDate>false</LinksUpToDate>
  <CharactersWithSpaces>2380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2023-01-13T10:22:09Z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