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南银理财珠联璧合鑫逸稳一年74期封闭式公募人民币理财产品</w:t>
      </w: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_GBK" w:eastAsia="方正仿宋_GBK"/>
          <w:b/>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pPr w:leftFromText="180" w:rightFromText="180" w:vertAnchor="text" w:tblpY="1"/>
        <w:tblOverlap w:val="never"/>
        <w:tblW w:w="889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719"/>
        <w:gridCol w:w="617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南银理财珠联璧合鑫逸稳一年74期封闭式公募人民币理财产品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Z7003222000050（投资者可依据该编码在中国理财网www.chinawealth.com.cn查询理财产品相关信息）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封闭式净值型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2022年08月24日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1,300,275,674.00份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华夏基金管理有限公司、上海国泰君安证券资产管理有限公司、鑫元基金管理有限公司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cs="宋体"/>
          <w:kern w:val="0"/>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693"/>
        <w:gridCol w:w="2410"/>
        <w:gridCol w:w="212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7229" w:type="dxa"/>
            <w:gridSpan w:val="3"/>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_GBK" w:hAnsi="仿宋_GB2312" w:eastAsia="方正仿宋_GBK" w:cs="仿宋_GB2312"/>
                <w:sz w:val="24"/>
                <w:szCs w:val="24"/>
              </w:rPr>
            </w:pPr>
          </w:p>
        </w:tc>
        <w:tc>
          <w:tcPr>
            <w:tcW w:w="269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41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12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Y30074</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139,738,369.82</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1.0003</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Y31074</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1,011,609,440.92</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1.0010</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1.0010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Y32074</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150,205,771.86</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1.0013</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1.0013</w:t>
            </w:r>
          </w:p>
        </w:tc>
      </w:tr>
    </w:tbl>
    <w:p>
      <w:pPr>
        <w:pStyle w:val="10"/>
        <w:spacing w:before="240" w:after="72" w:line="360" w:lineRule="auto"/>
        <w:ind w:left="0"/>
        <w:rPr>
          <w:rFonts w:ascii="方正仿宋_GBK" w:eastAsia="方正仿宋_GBK"/>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p>
    <w:p>
      <w:pPr>
        <w:spacing w:before="240" w:after="72" w:line="360" w:lineRule="auto"/>
        <w:ind w:firstLine="417"/>
        <w:rPr>
          <w:rFonts w:hint="eastAsia" w:ascii="方正仿宋_GBK" w:eastAsia="方正仿宋_GBK" w:hAnsiTheme="minorHAnsi" w:cstheme="minorBidi"/>
          <w:sz w:val="24"/>
          <w:szCs w:val="24"/>
        </w:rPr>
      </w:pPr>
      <w:r>
        <w:rPr>
          <w:rFonts w:hint="eastAsia" w:ascii="方正仿宋_GBK" w:eastAsia="方正仿宋_GBK" w:hAnsiTheme="minorHAnsi" w:cstheme="minorBidi"/>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展望后市，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综合来看，我们倾向于认为年初债市调整风险可控，利率或高等级次级债、信用债等表现或好于中低等级类信用债，会持续关注国内宽信用效果、外部出口压力等数据及两会前后政策层面的变化。</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报告期内，本产品以帮客户实现稳定收益为目标，力求产品净值的稳定增长，产品主要投资于定制债券专户及优质非标债权资产，其中专户严把信用风险、注重分散投资、灵活管理久期，非标债权资产严选标的、锁定收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w:t>
      </w:r>
      <w:bookmarkStart w:id="0" w:name="_GoBack"/>
      <w:bookmarkEnd w:id="0"/>
      <w:r>
        <w:rPr>
          <w:rFonts w:ascii="方正仿宋_GBK" w:eastAsia="方正仿宋_GBK" w:hAnsiTheme="minorHAnsi" w:cstheme="minorBidi"/>
          <w:sz w:val="24"/>
          <w:szCs w:val="24"/>
        </w:rPr>
        <w:t>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截至报告期末，本产品Y30074份额净值为1.0003元，Y31074份额净值为1.0010元，Y32074份额净值为1.0013元。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ZJQTT202202230001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鑫元基金-鑫安利得59号集合资产管理计划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475,007,290.75</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36.50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22881177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22连云城建14</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270,000,000.00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20.74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22881168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22滨江投资08</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236,000,000.00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18.13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ZZGJT202005290001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鑫元基金-鑫安利得51号</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110,253,705.81</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8.47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22881180</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22今世缘03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88,000,000.00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6.76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ZJQTT202103180021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华夏基金恒益1号集合资产管理计划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78,482,318.72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6.03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22881179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22常州城建09</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ZJQTT202209270001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国泰君安君享鑫赢添利1号集合资产管理计划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4,946,000.00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26"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87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常州市城市建设(集团)有限公司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22常州城建09</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242</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今世缘集团有限公司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22今世缘03</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258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连云港市城建控股集团有限公司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22连云城建14</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258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南京滨江投资发展有限公司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22滨江投资08</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252</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41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41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0120060000000882</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南银理财鑫逸稳一年74期</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after="0"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产品应支付关联方托管费65,717.72元，应支付关联方代销费248,908.06元。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04461F7D"/>
    <w:rsid w:val="0D197377"/>
    <w:rsid w:val="138B4249"/>
    <w:rsid w:val="1F1A3BC0"/>
    <w:rsid w:val="2651710C"/>
    <w:rsid w:val="2C5F4270"/>
    <w:rsid w:val="341F714B"/>
    <w:rsid w:val="3C1D079C"/>
    <w:rsid w:val="57DD4EC8"/>
    <w:rsid w:val="611546EB"/>
    <w:rsid w:val="6BBA3B00"/>
    <w:rsid w:val="74143F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30"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F7D9B9EB.dotm</Template>
  <Company>cc</Company>
  <Pages>6</Pages>
  <Words>1886</Words>
  <Characters>2449</Characters>
  <Lines>14</Lines>
  <Paragraphs>4</Paragraphs>
  <TotalTime>36</TotalTime>
  <ScaleCrop>false</ScaleCrop>
  <LinksUpToDate>false</LinksUpToDate>
  <CharactersWithSpaces>2478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2022-08-03T07:42:00Z</dcterms:created>
  <dc:creator>演示人</dc:creator>
  <cp:lastModifiedBy>笨</cp:lastModifiedBy>
  <dcterms:modified xsi:type="dcterms:W3CDTF">2023-01-13T11:18:08Z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04290F748C8143C1B435A9D4FC6E0B3F</vt:lpwstr>
  </property>
</Properties>
</file>