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5B77BE" w:rsidTr="00D76909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369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5B77BE" w:rsidTr="00D7690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369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2023GW369A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C1080323000574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17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2025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74,474,000.00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77,317,950.63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 xml:space="preserve">1.038187 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 xml:space="preserve">1.038187 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4.08%-4.48%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 xml:space="preserve">1.038187 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5B77B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5B77B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5B77B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5B77B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5B77BE" w:rsidTr="00D76909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5B77BE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5B77BE" w:rsidTr="00D7690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5B77BE" w:rsidTr="00D7690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5B77BE" w:rsidTr="00D76909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100.84%</w:t>
            </w:r>
          </w:p>
        </w:tc>
      </w:tr>
      <w:tr w:rsidR="005B77BE" w:rsidTr="00D7690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5B77BE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5B77BE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14.32%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19.35%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33.65%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59.46%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17.70%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17.41%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3.78%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34.33%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5B77BE" w:rsidTr="00D7690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5B77BE" w:rsidTr="00D7690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30,901,069.51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14.54%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星展结构性存款</w:t>
            </w:r>
            <w:r>
              <w:rPr>
                <w:rFonts w:ascii="宋体" w:eastAsia="宋体" w:hAnsi="宋体" w:cs="宋体"/>
                <w:color w:val="000000"/>
              </w:rPr>
              <w:t>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22,889,600.00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10.77%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中航信托天玑汇财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21,270,900.00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10.01%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中粮信托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丰利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  <w:r>
              <w:rPr>
                <w:rFonts w:ascii="宋体" w:eastAsia="宋体" w:hAnsi="宋体" w:cs="宋体"/>
                <w:color w:val="000000"/>
              </w:rPr>
              <w:t>号集合资金信托计划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20,411,840.41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9.60%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19,084,798.36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8.98%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18,845,822.47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8.87%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2228031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恒丰银行永续债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14,970,334.25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7.04%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114791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兴宁</w:t>
            </w:r>
            <w:r>
              <w:rPr>
                <w:rFonts w:ascii="宋体" w:eastAsia="宋体" w:hAnsi="宋体" w:cs="宋体"/>
                <w:color w:val="000000"/>
              </w:rPr>
              <w:t>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14,849,167.12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6.99%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133472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14,704,487.67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6.92%</w:t>
            </w:r>
          </w:p>
        </w:tc>
      </w:tr>
      <w:tr w:rsidR="005B77BE" w:rsidTr="00D76909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167536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</w:t>
            </w:r>
            <w:r>
              <w:rPr>
                <w:rFonts w:ascii="宋体" w:eastAsia="宋体" w:hAnsi="宋体" w:cs="宋体"/>
                <w:color w:val="000000"/>
              </w:rPr>
              <w:t>古蔺</w:t>
            </w:r>
            <w:r>
              <w:rPr>
                <w:rFonts w:ascii="宋体" w:eastAsia="宋体" w:hAnsi="宋体" w:cs="宋体"/>
                <w:color w:val="000000"/>
              </w:rPr>
              <w:t>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10,873,821.92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5B77BE" w:rsidRDefault="00D76909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5.12%</w:t>
            </w:r>
          </w:p>
        </w:tc>
      </w:tr>
      <w:tr w:rsidR="005B77BE" w:rsidTr="00D76909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5B77BE" w:rsidRDefault="00D76909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369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369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369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369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-D-2023</w:t>
            </w:r>
            <w:r>
              <w:rPr>
                <w:rFonts w:ascii="宋体" w:eastAsia="宋体" w:hAnsi="宋体" w:cs="宋体"/>
                <w:color w:val="000000"/>
              </w:rPr>
              <w:t>天津马拉松专属的合计数据。</w:t>
            </w:r>
          </w:p>
        </w:tc>
      </w:tr>
    </w:tbl>
    <w:p w:rsidR="005B77BE" w:rsidRDefault="005B77BE"/>
    <w:sectPr w:rsidR="005B77BE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76909">
      <w:r>
        <w:separator/>
      </w:r>
    </w:p>
  </w:endnote>
  <w:endnote w:type="continuationSeparator" w:id="0">
    <w:p w:rsidR="00000000" w:rsidRDefault="00D76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76909">
      <w:r>
        <w:separator/>
      </w:r>
    </w:p>
  </w:footnote>
  <w:footnote w:type="continuationSeparator" w:id="0">
    <w:p w:rsidR="00000000" w:rsidRDefault="00D76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B77BE"/>
    <w:rsid w:val="005B77BE"/>
    <w:rsid w:val="00D7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E486956F-5653-4FC4-8AA5-C9A25AC2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769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76909"/>
    <w:rPr>
      <w:sz w:val="18"/>
      <w:szCs w:val="18"/>
    </w:rPr>
  </w:style>
  <w:style w:type="paragraph" w:styleId="a5">
    <w:name w:val="footer"/>
    <w:basedOn w:val="a"/>
    <w:link w:val="a6"/>
    <w:unhideWhenUsed/>
    <w:rsid w:val="00D769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769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2024-07-05T02:02:00Z</dcterms:created>
  <dcterms:modified xsi:type="dcterms:W3CDTF">2024-07-05T02:02:00Z</dcterms:modified>
</cp:coreProperties>
</file>