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94534E" w:rsidTr="000C2F83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106</w:t>
            </w:r>
            <w:r>
              <w:rPr>
                <w:rFonts w:ascii="宋体" w:eastAsia="宋体" w:hAnsi="宋体" w:cs="宋体"/>
                <w:b/>
                <w:color w:val="000000"/>
              </w:rPr>
              <w:t>期封闭式净值型理财产品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94534E" w:rsidTr="000C2F8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color w:val="000000"/>
              </w:rPr>
              <w:t>106</w:t>
            </w:r>
            <w:r>
              <w:rPr>
                <w:rFonts w:ascii="宋体" w:eastAsia="宋体" w:hAnsi="宋体" w:cs="宋体"/>
                <w:color w:val="000000"/>
              </w:rPr>
              <w:t>期封闭式净值型理财产品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2024GW106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C1080324000141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311,448,000.00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313,088,085.17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 xml:space="preserve">1.005266 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 xml:space="preserve">1.005266 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3.10%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 xml:space="preserve">1.005266 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94534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94534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94534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94534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94534E" w:rsidTr="000C2F83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94534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94534E" w:rsidTr="000C2F8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94534E" w:rsidTr="000C2F8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94534E" w:rsidTr="000C2F83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102.65%</w:t>
            </w:r>
          </w:p>
        </w:tc>
      </w:tr>
      <w:tr w:rsidR="0094534E" w:rsidTr="000C2F8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94534E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94534E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23.85%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23.85%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59.10%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59.10%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17.05%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17.05%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4534E" w:rsidTr="000C2F8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4534E" w:rsidTr="000C2F8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27,566,930.96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8.80%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27,221,743.56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8.69%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23,107,052.05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7.38%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江西银行永续债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21,831,737.70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6.97%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167536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古蔺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21,747,643.84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6.95%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177199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宁河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21,022,904.11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6.71%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032280769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天津和平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18,430,173.77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5.89%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信达地产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18,011,277.05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5.75%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102281893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振华重工</w:t>
            </w:r>
            <w:r>
              <w:rPr>
                <w:rFonts w:ascii="宋体" w:eastAsia="宋体" w:hAnsi="宋体" w:cs="宋体"/>
                <w:color w:val="000000"/>
              </w:rPr>
              <w:t>MTN001(</w:t>
            </w:r>
            <w:r>
              <w:rPr>
                <w:rFonts w:ascii="宋体" w:eastAsia="宋体" w:hAnsi="宋体" w:cs="宋体"/>
                <w:color w:val="000000"/>
              </w:rPr>
              <w:t>科创票据</w:t>
            </w:r>
            <w:r>
              <w:rPr>
                <w:rFonts w:ascii="宋体" w:eastAsia="宋体" w:hAnsi="宋体" w:cs="宋体"/>
                <w:color w:val="000000"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17,633,236.07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5.63%</w:t>
            </w:r>
          </w:p>
        </w:tc>
      </w:tr>
      <w:tr w:rsidR="0094534E" w:rsidTr="000C2F83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2128001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渤海银行二级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10,536,158.47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4534E" w:rsidRDefault="000C2F83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3.37%</w:t>
            </w:r>
          </w:p>
        </w:tc>
      </w:tr>
      <w:tr w:rsidR="0094534E" w:rsidTr="000C2F83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4534E" w:rsidRDefault="000C2F83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</w:t>
            </w:r>
          </w:p>
        </w:tc>
      </w:tr>
    </w:tbl>
    <w:p w:rsidR="0094534E" w:rsidRDefault="0094534E"/>
    <w:sectPr w:rsidR="0094534E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C2F83">
      <w:r>
        <w:separator/>
      </w:r>
    </w:p>
  </w:endnote>
  <w:endnote w:type="continuationSeparator" w:id="0">
    <w:p w:rsidR="00000000" w:rsidRDefault="000C2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C2F83">
      <w:r>
        <w:separator/>
      </w:r>
    </w:p>
  </w:footnote>
  <w:footnote w:type="continuationSeparator" w:id="0">
    <w:p w:rsidR="00000000" w:rsidRDefault="000C2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4534E"/>
    <w:rsid w:val="000C2F83"/>
    <w:rsid w:val="0094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D74007E-9952-490B-8EDF-D44745D0B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C2F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C2F83"/>
    <w:rPr>
      <w:sz w:val="18"/>
      <w:szCs w:val="18"/>
    </w:rPr>
  </w:style>
  <w:style w:type="paragraph" w:styleId="a5">
    <w:name w:val="footer"/>
    <w:basedOn w:val="a"/>
    <w:link w:val="a6"/>
    <w:unhideWhenUsed/>
    <w:rsid w:val="000C2F8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C2F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2024-07-05T02:08:00Z</dcterms:created>
  <dcterms:modified xsi:type="dcterms:W3CDTF">2024-07-05T02:08:00Z</dcterms:modified>
</cp:coreProperties>
</file>