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半年添益2002期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半年添益2002期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TYG6M2002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2020年1月23日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3.20%-3.80%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571,035,596.15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100.26%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571,035,596.15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507,521,478.26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1.1251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1.1251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半年添益2002期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3.92</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1季度以来，利率债收益率震荡，信用债收益率整体下行，债市经历了对经济复苏的强预期到弱预期的修复。春节前，受疫情防控政策和房地产政策调整影响，市场对经济复苏预期强烈，春节后，信贷开门红，但市场对实体经济复苏存在较大分歧，理财赎回风波缓解后，银行理财对信用债配置带动信用债收益率大幅下行，3月后，两会设定的GDP增速目标低于市场预期，出口走弱，叠加3月底央行超预期降准，带动中短期债券收益率下行。从收益率来看，当前10年国债收益率2.87%，较年初小幅上行，当前3年期AA+城投债收益率3.23%，较年初下行40bp，当前3年期AAA二级资本债收益率3.28%，较年初下行8bp。本产品主要配置固收类资产，债券部分以信用债为主，受益于一季度信用债收益率大幅下行，通过杠杆策略和久期策略，产品净值收益表现较好。</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从基本面来看，无论从经济高频数据还是前瞻性数据来看，经济逐步复苏的态势仍在延续，从票据利率看银行信贷投放依然积极，消费、地产投资增速仍在修复过程中；从政策面来看，3月央行降准显示对银行间资金面市场的呵护，市场利率大概率围绕政策利率波动，短端债券收益率上行的空间有限。整体来说，经济弱复苏延续，货币政策保持相对宽松，债市流动性环境相对友好，后续理财规模增长情况、出口回落速度、货币政策是否会进一步宽松等将是影响2季度债市的重要变量。我们预期2季度债券收益率整体小幅波动。策略上，保持一定杠杆比例，适时把握利率债的阶段性交易机会。</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0.16%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8.04%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65.75%</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17.56%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4.99%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3.50%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0.24%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8.04%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65.75%</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17.56%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8.41%</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同业借款（湖北金租 1E 20230209）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100,544,633.56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17.61%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60,268,602.74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20定城02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31,594,684.93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20袍江工业PPN002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31,314,904.11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20绍滨01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31,036,315.07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5.44%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21常高02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30,267,953.42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质押式逆回购(359876)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30,011,342.46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光大优2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28,583,630.00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21高邮经济PPN001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26,072,397.26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20桐庐02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20,845,479.45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3.65%</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湖北金融租赁股份有限公司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同业借款（湖北金租 1E 20230209）</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20230804</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100,544,633.56</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同业借款</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到期一次还本付息</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1,284,916,009.64</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507,521,478.26</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192,488.10</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