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5.8.0.0 -->
  <w:body>
    <w:p w:rsidR="00461C5A">
      <w:pPr>
        <w:jc w:val="center"/>
        <w:rPr>
          <w:rFonts w:ascii="宋体" w:eastAsia="宋体" w:hAnsi="宋体"/>
          <w:b/>
          <w:sz w:val="32"/>
          <w:szCs w:val="20"/>
        </w:rPr>
      </w:pPr>
    </w:p>
    <w:p w:rsidR="00461C5A">
      <w:pPr>
        <w:adjustRightInd w:val="0"/>
        <w:snapToGrid w:val="0"/>
        <w:spacing w:line="460" w:lineRule="exact"/>
        <w:jc w:val="center"/>
        <w:rPr>
          <w:rFonts w:ascii="Times New Roman" w:eastAsia="方正楷体简体" w:hAnsi="Times New Roman"/>
          <w:sz w:val="24"/>
        </w:rPr>
      </w:pPr>
    </w:p>
    <w:p w:rsidR="00461C5A">
      <w:pPr>
        <w:pStyle w:val="Heading2"/>
        <w:keepNext w:val="0"/>
        <w:keepLines w:val="0"/>
        <w:autoSpaceDE w:val="0"/>
        <w:autoSpaceDN w:val="0"/>
        <w:spacing w:before="220" w:line="240" w:lineRule="auto"/>
        <w:jc w:val="center"/>
        <w:rPr>
          <w:rFonts w:ascii="仿宋_GB2312" w:eastAsia="仿宋_GB2312" w:hAnsi="仿宋_GB2312" w:cs="仿宋_GB2312"/>
          <w:bCs/>
          <w:kern w:val="0"/>
          <w:sz w:val="52"/>
          <w:szCs w:val="52"/>
          <w:lang w:bidi="zh-CN"/>
        </w:rPr>
      </w:pPr>
      <w:r>
        <w:rPr>
          <w:rFonts w:ascii="仿宋_GB2312" w:eastAsia="仿宋_GB2312" w:hAnsi="仿宋_GB2312" w:cs="仿宋_GB2312" w:hint="eastAsia"/>
          <w:bCs/>
          <w:kern w:val="0"/>
          <w:sz w:val="52"/>
          <w:szCs w:val="52"/>
          <w:lang w:bidi="zh-CN"/>
        </w:rPr>
        <w:t>半年添益2008期</w:t>
      </w:r>
    </w:p>
    <w:p w:rsidR="00461C5A">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2023</w:t>
      </w:r>
      <w:r>
        <w:rPr>
          <w:rFonts w:ascii="仿宋_GB2312" w:eastAsia="仿宋_GB2312" w:hAnsi="仿宋_GB2312" w:cs="仿宋_GB2312"/>
          <w:b/>
          <w:sz w:val="44"/>
        </w:rPr>
        <w:t>年</w:t>
      </w:r>
      <w:r>
        <w:rPr>
          <w:rFonts w:ascii="仿宋_GB2312" w:eastAsia="仿宋_GB2312" w:hAnsi="仿宋_GB2312" w:cs="仿宋_GB2312"/>
          <w:b/>
          <w:sz w:val="44"/>
        </w:rPr>
        <w:t>第1季度报告</w:t>
      </w:r>
    </w:p>
    <w:p w:rsidR="00461C5A">
      <w:pPr>
        <w:jc w:val="center"/>
        <w:rPr>
          <w:rFonts w:ascii="宋体" w:eastAsia="宋体" w:hAnsi="宋体" w:cs="Times New Roman"/>
          <w:color w:val="0000FF"/>
          <w:kern w:val="0"/>
          <w:sz w:val="18"/>
          <w:szCs w:val="20"/>
        </w:rPr>
      </w:pPr>
    </w:p>
    <w:p w:rsidR="00461C5A">
      <w:pPr>
        <w:jc w:val="center"/>
        <w:rPr>
          <w:rFonts w:eastAsia="宋体"/>
          <w:sz w:val="24"/>
        </w:rPr>
      </w:pPr>
    </w:p>
    <w:p w:rsidR="00461C5A">
      <w:pPr>
        <w:jc w:val="center"/>
        <w:rPr>
          <w:rFonts w:eastAsia="宋体"/>
          <w:sz w:val="24"/>
        </w:rPr>
      </w:pPr>
    </w:p>
    <w:p w:rsidR="00461C5A">
      <w:pPr>
        <w:jc w:val="center"/>
        <w:rPr>
          <w:rFonts w:ascii="仿宋" w:eastAsia="仿宋" w:hAnsi="仿宋" w:cs="仿宋"/>
          <w:sz w:val="24"/>
        </w:rPr>
      </w:pPr>
    </w:p>
    <w:p w:rsidR="00461C5A">
      <w:pPr>
        <w:jc w:val="center"/>
        <w:rPr>
          <w:rFonts w:ascii="仿宋" w:eastAsia="仿宋" w:hAnsi="仿宋" w:cs="仿宋"/>
          <w:sz w:val="24"/>
        </w:rPr>
      </w:pPr>
    </w:p>
    <w:p w:rsidR="00461C5A">
      <w:pPr>
        <w:jc w:val="center"/>
        <w:rPr>
          <w:rFonts w:ascii="仿宋" w:eastAsia="仿宋" w:hAnsi="仿宋" w:cs="仿宋"/>
          <w:sz w:val="24"/>
        </w:rPr>
      </w:pPr>
    </w:p>
    <w:p w:rsidR="00461C5A">
      <w:pPr>
        <w:jc w:val="center"/>
        <w:rPr>
          <w:rFonts w:ascii="仿宋" w:eastAsia="仿宋" w:hAnsi="仿宋" w:cs="仿宋"/>
          <w:sz w:val="24"/>
        </w:rPr>
      </w:pPr>
      <w:r>
        <w:rPr>
          <w:rFonts w:ascii="仿宋" w:eastAsia="仿宋" w:hAnsi="仿宋" w:cs="仿宋" w:hint="eastAsia"/>
          <w:sz w:val="24"/>
        </w:rPr>
        <w:t>产品管理人：</w:t>
      </w:r>
      <w:r>
        <w:rPr>
          <w:rFonts w:ascii="仿宋" w:eastAsia="仿宋" w:hAnsi="仿宋" w:cs="仿宋"/>
          <w:sz w:val="24"/>
        </w:rPr>
        <w:t>杭银理财有限责任公司</w:t>
      </w:r>
    </w:p>
    <w:p w:rsidR="00461C5A">
      <w:pPr>
        <w:jc w:val="center"/>
        <w:rPr>
          <w:rFonts w:ascii="仿宋" w:eastAsia="仿宋" w:hAnsi="仿宋" w:cs="仿宋"/>
          <w:sz w:val="24"/>
        </w:rPr>
      </w:pPr>
      <w:r>
        <w:rPr>
          <w:rFonts w:ascii="仿宋" w:eastAsia="仿宋" w:hAnsi="仿宋" w:cs="仿宋" w:hint="eastAsia"/>
          <w:sz w:val="24"/>
        </w:rPr>
        <w:t>产品托管人：</w:t>
      </w:r>
      <w:r>
        <w:rPr>
          <w:rFonts w:ascii="仿宋" w:eastAsia="仿宋" w:hAnsi="仿宋" w:cs="仿宋"/>
          <w:sz w:val="24"/>
        </w:rPr>
        <w:t>杭州银行股份有限公司</w:t>
      </w:r>
    </w:p>
    <w:p w:rsidR="00461C5A">
      <w:pPr>
        <w:jc w:val="center"/>
        <w:rPr>
          <w:rFonts w:ascii="仿宋" w:eastAsia="仿宋" w:hAnsi="仿宋" w:cs="仿宋"/>
          <w:sz w:val="24"/>
        </w:rPr>
      </w:pPr>
    </w:p>
    <w:p w:rsidR="00461C5A">
      <w:pPr>
        <w:jc w:val="center"/>
        <w:rPr>
          <w:rFonts w:ascii="仿宋" w:eastAsia="仿宋" w:hAnsi="仿宋" w:cs="仿宋"/>
          <w:sz w:val="24"/>
        </w:rPr>
      </w:pPr>
    </w:p>
    <w:p w:rsidR="00461C5A">
      <w:pPr>
        <w:jc w:val="center"/>
        <w:rPr>
          <w:rFonts w:ascii="仿宋" w:eastAsia="仿宋" w:hAnsi="仿宋" w:cs="仿宋"/>
          <w:sz w:val="24"/>
        </w:rPr>
      </w:pPr>
    </w:p>
    <w:p w:rsidR="00461C5A">
      <w:pPr>
        <w:jc w:val="center"/>
        <w:rPr>
          <w:rFonts w:ascii="仿宋" w:eastAsia="仿宋" w:hAnsi="仿宋" w:cs="仿宋"/>
          <w:sz w:val="24"/>
        </w:rPr>
      </w:pPr>
      <w:r>
        <w:rPr>
          <w:rFonts w:ascii="仿宋" w:eastAsia="仿宋" w:hAnsi="仿宋" w:cs="仿宋" w:hint="eastAsia"/>
          <w:sz w:val="24"/>
        </w:rPr>
        <w:t>2023年4月19日</w:t>
      </w:r>
    </w:p>
    <w:p w:rsidR="00461C5A">
      <w:pPr>
        <w:jc w:val="center"/>
        <w:rPr>
          <w:rFonts w:ascii="仿宋" w:eastAsia="仿宋" w:hAnsi="仿宋" w:cs="仿宋"/>
          <w:sz w:val="24"/>
        </w:rPr>
      </w:pPr>
    </w:p>
    <w:p w:rsidR="00461C5A">
      <w:pPr>
        <w:jc w:val="center"/>
        <w:rPr>
          <w:rFonts w:ascii="仿宋" w:eastAsia="仿宋" w:hAnsi="仿宋" w:cs="仿宋"/>
          <w:sz w:val="24"/>
        </w:rPr>
      </w:pPr>
    </w:p>
    <w:p w:rsidR="00461C5A">
      <w:pPr>
        <w:jc w:val="center"/>
        <w:rPr>
          <w:rFonts w:ascii="仿宋" w:eastAsia="仿宋" w:hAnsi="仿宋" w:cs="仿宋"/>
          <w:sz w:val="24"/>
        </w:rPr>
      </w:pPr>
    </w:p>
    <w:p w:rsidR="00461C5A" w:rsidP="004458C8">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§1  重要提示</w:t>
      </w:r>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461C5A">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461C5A">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2023年3月31日</w:t>
            </w:r>
            <w:r>
              <w:rPr>
                <w:rFonts w:ascii="仿宋" w:eastAsia="仿宋" w:hAnsi="仿宋" w:cs="仿宋" w:hint="eastAsia"/>
                <w:color w:val="404040"/>
                <w:kern w:val="0"/>
                <w:sz w:val="24"/>
              </w:rPr>
              <w:t>复核了本报告中的财务指标、净值表现和投资组合报告等内容，保证复核内容不存在虚假记载、误导性陈述或者重大遗漏。</w:t>
            </w:r>
          </w:p>
          <w:p w:rsidR="00461C5A">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w:t>
            </w:r>
            <w:r>
              <w:rPr>
                <w:rFonts w:ascii="仿宋" w:eastAsia="仿宋" w:hAnsi="仿宋" w:cs="仿宋" w:hint="eastAsia"/>
                <w:color w:val="404040"/>
                <w:kern w:val="0"/>
                <w:sz w:val="24"/>
              </w:rPr>
              <w:t>作出</w:t>
            </w:r>
            <w:r>
              <w:rPr>
                <w:rFonts w:ascii="仿宋" w:eastAsia="仿宋" w:hAnsi="仿宋" w:cs="仿宋" w:hint="eastAsia"/>
                <w:color w:val="404040"/>
                <w:kern w:val="0"/>
                <w:sz w:val="24"/>
              </w:rPr>
              <w:t>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461C5A">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461C5A">
            <w:pPr>
              <w:widowControl/>
              <w:adjustRightInd w:val="0"/>
              <w:snapToGrid w:val="0"/>
              <w:spacing w:line="420" w:lineRule="exact"/>
              <w:ind w:firstLine="42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2023年1月1日</w:t>
            </w:r>
            <w:r>
              <w:rPr>
                <w:rFonts w:ascii="仿宋" w:eastAsia="仿宋" w:hAnsi="仿宋" w:cs="仿宋" w:hint="eastAsia"/>
                <w:color w:val="404040"/>
                <w:kern w:val="0"/>
                <w:sz w:val="24"/>
              </w:rPr>
              <w:t>起至</w:t>
            </w:r>
            <w:r>
              <w:rPr>
                <w:rFonts w:ascii="仿宋" w:eastAsia="仿宋" w:hAnsi="仿宋" w:cs="仿宋"/>
                <w:color w:val="404040"/>
                <w:sz w:val="24"/>
              </w:rPr>
              <w:t>2023年3月31日</w:t>
            </w:r>
            <w:r>
              <w:rPr>
                <w:rFonts w:ascii="仿宋" w:eastAsia="仿宋" w:hAnsi="仿宋" w:cs="仿宋" w:hint="eastAsia"/>
                <w:color w:val="404040"/>
                <w:kern w:val="0"/>
                <w:sz w:val="24"/>
              </w:rPr>
              <w:t>止。</w:t>
            </w:r>
          </w:p>
        </w:tc>
      </w:tr>
    </w:tbl>
    <w:p w:rsidR="00461C5A">
      <w:pPr>
        <w:rPr>
          <w:rStyle w:val="a"/>
          <w:rFonts w:ascii="仿宋" w:eastAsia="仿宋" w:hAnsi="仿宋" w:cs="仿宋"/>
          <w:color w:val="0000FF"/>
          <w:sz w:val="24"/>
        </w:rPr>
      </w:pPr>
    </w:p>
    <w:p w:rsidR="00461C5A" w:rsidP="004458C8">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§2  产品概况</w:t>
      </w:r>
    </w:p>
    <w:p w:rsidR="00461C5A" w:rsidP="00FB089E">
      <w:pPr>
        <w:adjustRightInd w:val="0"/>
        <w:snapToGrid w:val="0"/>
        <w:spacing w:line="440" w:lineRule="exact"/>
        <w:outlineLvl w:val="2"/>
        <w:rPr>
          <w:rFonts w:ascii="仿宋" w:eastAsia="仿宋" w:hAnsi="仿宋" w:cs="仿宋"/>
          <w:b/>
          <w:sz w:val="24"/>
        </w:rPr>
      </w:pPr>
      <w:bookmarkStart w:id="0" w:name="_Toc354129567"/>
      <w:r>
        <w:rPr>
          <w:rFonts w:ascii="仿宋" w:eastAsia="仿宋" w:hAnsi="仿宋" w:cs="仿宋" w:hint="eastAsia"/>
          <w:b/>
          <w:sz w:val="24"/>
        </w:rPr>
        <w:t>2.1 产品基本情况</w:t>
      </w:r>
      <w:bookmarkEnd w:id="0"/>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半年添益2008期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TYG6M2008</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Z7002221000092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2020年3月11日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开放式净值型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3.40%-3.80%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报告期末产品规模（元）</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608,540,422.16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105.07%</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461C5A">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461C5A">
      <w:pPr>
        <w:adjustRightInd w:val="0"/>
        <w:snapToGrid w:val="0"/>
        <w:spacing w:line="360" w:lineRule="exact"/>
        <w:rPr>
          <w:rFonts w:ascii="仿宋" w:eastAsia="仿宋" w:hAnsi="仿宋" w:cs="仿宋"/>
          <w:color w:val="000000"/>
          <w:sz w:val="24"/>
        </w:rPr>
      </w:pPr>
    </w:p>
    <w:p w:rsidR="00461C5A">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§3  主要财务指标和产品净值表现</w:t>
      </w:r>
    </w:p>
    <w:p w:rsidR="00461C5A" w:rsidP="00FB089E">
      <w:pPr>
        <w:adjustRightInd w:val="0"/>
        <w:snapToGrid w:val="0"/>
        <w:spacing w:line="440" w:lineRule="exact"/>
        <w:outlineLvl w:val="2"/>
        <w:rPr>
          <w:rFonts w:ascii="仿宋" w:eastAsia="仿宋" w:hAnsi="仿宋" w:cs="仿宋"/>
          <w:b/>
          <w:sz w:val="24"/>
        </w:rPr>
      </w:pPr>
      <w:r>
        <w:rPr>
          <w:rFonts w:ascii="仿宋" w:eastAsia="仿宋" w:hAnsi="仿宋" w:cs="仿宋" w:hint="eastAsia"/>
          <w:b/>
          <w:sz w:val="24"/>
        </w:rPr>
        <w:t>3.1 主要财务指标和产品净值表现</w:t>
      </w:r>
    </w:p>
    <w:p w:rsidR="00461C5A" w:rsidP="004458C8">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单位：元、份、元/份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461C5A">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2023年1月1日</w:t>
            </w:r>
            <w:r>
              <w:rPr>
                <w:rFonts w:ascii="仿宋" w:eastAsia="仿宋" w:hAnsi="仿宋" w:cs="仿宋" w:hint="eastAsia"/>
                <w:color w:val="000000"/>
                <w:kern w:val="0"/>
                <w:sz w:val="24"/>
              </w:rPr>
              <w:t>-</w:t>
            </w:r>
            <w:r>
              <w:rPr>
                <w:rFonts w:ascii="仿宋" w:eastAsia="仿宋" w:hAnsi="仿宋" w:cs="仿宋"/>
                <w:color w:val="000000"/>
                <w:sz w:val="24"/>
              </w:rPr>
              <w:t>2023年3月31日</w:t>
            </w:r>
            <w:r>
              <w:rPr>
                <w:rFonts w:ascii="仿宋" w:eastAsia="仿宋" w:hAnsi="仿宋"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rPr>
                <w:rStyle w:val="a"/>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right"/>
              <w:rPr>
                <w:rFonts w:ascii="仿宋" w:eastAsia="仿宋" w:hAnsi="仿宋" w:cs="仿宋"/>
                <w:sz w:val="24"/>
              </w:rPr>
            </w:pPr>
            <w:r>
              <w:rPr>
                <w:rFonts w:ascii="仿宋" w:eastAsia="仿宋" w:hAnsi="仿宋" w:cs="仿宋" w:hint="eastAsia"/>
                <w:kern w:val="0"/>
                <w:sz w:val="24"/>
              </w:rPr>
              <w:t>608,540,422.16</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544,240,489.34</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rPr>
                <w:rStyle w:val="a"/>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right"/>
              <w:rPr>
                <w:rFonts w:ascii="仿宋" w:eastAsia="仿宋" w:hAnsi="仿宋" w:cs="仿宋"/>
                <w:sz w:val="24"/>
              </w:rPr>
            </w:pPr>
            <w:r>
              <w:rPr>
                <w:rFonts w:ascii="仿宋" w:eastAsia="仿宋" w:hAnsi="仿宋" w:cs="仿宋" w:hint="eastAsia"/>
                <w:kern w:val="0"/>
                <w:sz w:val="24"/>
              </w:rPr>
              <w:t>1.1181</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rPr>
                <w:rStyle w:val="a"/>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right"/>
              <w:rPr>
                <w:rFonts w:ascii="仿宋" w:eastAsia="仿宋" w:hAnsi="仿宋" w:cs="仿宋"/>
                <w:sz w:val="24"/>
              </w:rPr>
            </w:pPr>
            <w:r>
              <w:rPr>
                <w:rFonts w:ascii="仿宋" w:eastAsia="仿宋" w:hAnsi="仿宋" w:cs="仿宋" w:hint="eastAsia"/>
                <w:kern w:val="0"/>
                <w:sz w:val="24"/>
              </w:rPr>
              <w:t>1.1181</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rsidTr="006D231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34D0D" w:rsidP="00475B0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34D0D" w:rsidP="00475B0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34D0D" w:rsidP="00475B0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134D0D" w:rsidP="00475B0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34D0D" w:rsidP="00475B0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34D0D" w:rsidP="00475B0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bl>
    <w:p w:rsidR="00134D0D" w:rsidP="00134D0D">
      <w:pPr>
        <w:adjustRightInd w:val="0"/>
        <w:snapToGrid w:val="0"/>
        <w:spacing w:line="440" w:lineRule="exact"/>
        <w:outlineLvl w:val="2"/>
        <w:rPr>
          <w:rFonts w:ascii="仿宋" w:eastAsia="仿宋" w:hAnsi="仿宋" w:cs="仿宋"/>
          <w:b/>
          <w:sz w:val="24"/>
        </w:rPr>
      </w:pPr>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w:t>
      </w:r>
      <w:r>
        <w:rPr>
          <w:rFonts w:ascii="仿宋" w:eastAsia="仿宋" w:hAnsi="仿宋" w:cs="仿宋" w:hint="eastAsia"/>
          <w:b/>
          <w:sz w:val="24"/>
        </w:rPr>
        <w:t>产品收益</w:t>
      </w:r>
      <w:r>
        <w:rPr>
          <w:rFonts w:ascii="仿宋" w:eastAsia="仿宋" w:hAnsi="仿宋" w:cs="仿宋" w:hint="eastAsia"/>
          <w:b/>
          <w:sz w:val="24"/>
        </w:rPr>
        <w:t>表现</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07"/>
        <w:gridCol w:w="3321"/>
      </w:tblGrid>
      <w:tr w:rsidTr="003D379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134D0D" w:rsidP="00C77B8A">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w:t>
            </w:r>
            <w:r w:rsidR="005F727E">
              <w:rPr>
                <w:rFonts w:ascii="仿宋" w:eastAsia="仿宋" w:hAnsi="仿宋" w:cs="仿宋" w:hint="eastAsia"/>
                <w:color w:val="000000"/>
                <w:kern w:val="0"/>
                <w:sz w:val="24"/>
              </w:rPr>
              <w:t>名称</w:t>
            </w:r>
          </w:p>
        </w:tc>
        <w:tc>
          <w:tcPr>
            <w:tcW w:w="3321" w:type="dxa"/>
            <w:tcBorders>
              <w:top w:val="single" w:sz="4" w:space="0" w:color="auto"/>
              <w:left w:val="single" w:sz="4" w:space="0" w:color="auto"/>
              <w:bottom w:val="single" w:sz="4" w:space="0" w:color="auto"/>
              <w:right w:val="single" w:sz="4" w:space="0" w:color="auto"/>
            </w:tcBorders>
            <w:vAlign w:val="center"/>
          </w:tcPr>
          <w:p w:rsidR="00134D0D" w:rsidP="00C77B8A">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成立</w:t>
            </w:r>
            <w:r>
              <w:rPr>
                <w:rFonts w:ascii="仿宋" w:eastAsia="仿宋" w:hAnsi="仿宋" w:cs="仿宋" w:hint="eastAsia"/>
                <w:color w:val="000000"/>
                <w:kern w:val="0"/>
                <w:sz w:val="24"/>
              </w:rPr>
              <w:t>以来年化收益率</w:t>
            </w:r>
          </w:p>
        </w:tc>
      </w:tr>
      <w:tr w:rsidTr="003D3797">
        <w:tblPrEx>
          <w:tblW w:w="9128" w:type="dxa"/>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134D0D" w:rsidP="002F014C">
            <w:pPr>
              <w:widowControl/>
              <w:adjustRightInd w:val="0"/>
              <w:snapToGrid w:val="0"/>
              <w:jc w:val="center"/>
              <w:rPr>
                <w:rStyle w:val="a"/>
                <w:rFonts w:ascii="仿宋" w:eastAsia="仿宋" w:hAnsi="仿宋" w:cs="仿宋"/>
                <w:sz w:val="24"/>
              </w:rPr>
            </w:pPr>
            <w:r>
              <w:rPr>
                <w:rStyle w:val="a"/>
                <w:rFonts w:ascii="仿宋" w:eastAsia="仿宋" w:hAnsi="仿宋" w:cs="仿宋" w:hint="eastAsia"/>
                <w:sz w:val="24"/>
              </w:rPr>
              <w:t>半年添益2008期</w:t>
            </w:r>
            <w:bookmarkStart w:id="1" w:name="_GoBack"/>
            <w:bookmarkEnd w:id="1"/>
          </w:p>
        </w:tc>
        <w:tc>
          <w:tcPr>
            <w:tcW w:w="3321" w:type="dxa"/>
            <w:tcBorders>
              <w:top w:val="single" w:sz="4" w:space="0" w:color="auto"/>
              <w:left w:val="single" w:sz="4" w:space="0" w:color="auto"/>
              <w:bottom w:val="single" w:sz="4" w:space="0" w:color="auto"/>
              <w:right w:val="single" w:sz="4" w:space="0" w:color="auto"/>
            </w:tcBorders>
            <w:vAlign w:val="center"/>
          </w:tcPr>
          <w:p w:rsidR="00134D0D" w:rsidP="00134D0D">
            <w:pPr>
              <w:widowControl/>
              <w:adjustRightInd w:val="0"/>
              <w:snapToGrid w:val="0"/>
              <w:jc w:val="center"/>
              <w:rPr>
                <w:rFonts w:ascii="仿宋" w:eastAsia="仿宋" w:hAnsi="仿宋" w:cs="仿宋"/>
                <w:sz w:val="24"/>
              </w:rPr>
            </w:pPr>
            <w:r>
              <w:rPr>
                <w:rFonts w:ascii="仿宋" w:eastAsia="仿宋" w:hAnsi="仿宋" w:cs="仿宋" w:hint="eastAsia"/>
                <w:sz w:val="24"/>
              </w:rPr>
              <w:t>3.86</w:t>
            </w:r>
            <w:r>
              <w:rPr>
                <w:rFonts w:ascii="仿宋" w:eastAsia="仿宋" w:hAnsi="仿宋" w:cs="仿宋"/>
                <w:sz w:val="24"/>
              </w:rPr>
              <w:t>%</w:t>
            </w:r>
          </w:p>
        </w:tc>
      </w:tr>
    </w:tbl>
    <w:p w:rsidR="00461C5A" w:rsidRPr="00134D0D">
      <w:pPr>
        <w:adjustRightInd w:val="0"/>
        <w:snapToGrid w:val="0"/>
        <w:rPr>
          <w:rFonts w:ascii="仿宋" w:eastAsia="仿宋" w:hAnsi="仿宋" w:cs="仿宋"/>
          <w:color w:val="404040"/>
          <w:kern w:val="0"/>
          <w:sz w:val="24"/>
        </w:rPr>
      </w:pPr>
    </w:p>
    <w:p w:rsidR="00134D0D">
      <w:pPr>
        <w:adjustRightInd w:val="0"/>
        <w:snapToGrid w:val="0"/>
        <w:rPr>
          <w:rFonts w:ascii="仿宋" w:eastAsia="仿宋" w:hAnsi="仿宋" w:cs="仿宋" w:hint="eastAsia"/>
          <w:color w:val="404040"/>
          <w:kern w:val="0"/>
          <w:sz w:val="24"/>
        </w:rPr>
      </w:pPr>
    </w:p>
    <w:p w:rsidR="00461C5A" w:rsidRPr="004458C8" w:rsidP="004458C8">
      <w:pPr>
        <w:pStyle w:val="Heading2"/>
        <w:adjustRightInd w:val="0"/>
        <w:snapToGrid w:val="0"/>
        <w:spacing w:line="560" w:lineRule="exact"/>
        <w:jc w:val="center"/>
        <w:rPr>
          <w:rFonts w:ascii="仿宋" w:eastAsia="仿宋" w:hAnsi="仿宋" w:cs="仿宋"/>
          <w:sz w:val="24"/>
        </w:rPr>
      </w:pPr>
      <w:r w:rsidRPr="004458C8">
        <w:rPr>
          <w:rFonts w:ascii="仿宋" w:eastAsia="仿宋" w:hAnsi="仿宋" w:cs="仿宋" w:hint="eastAsia"/>
          <w:sz w:val="24"/>
        </w:rPr>
        <w:t>§4  投资组合报告</w:t>
      </w:r>
    </w:p>
    <w:p w:rsidR="00461C5A" w:rsidP="00FB089E">
      <w:pPr>
        <w:adjustRightInd w:val="0"/>
        <w:snapToGrid w:val="0"/>
        <w:spacing w:line="440" w:lineRule="exact"/>
        <w:outlineLvl w:val="2"/>
        <w:rPr>
          <w:rFonts w:ascii="仿宋" w:eastAsia="仿宋" w:hAnsi="仿宋" w:cs="仿宋"/>
          <w:b/>
          <w:sz w:val="24"/>
        </w:rPr>
      </w:pPr>
      <w:r w:rsidRPr="00FB089E">
        <w:rPr>
          <w:rFonts w:ascii="仿宋" w:eastAsia="仿宋" w:hAnsi="仿宋" w:cs="仿宋" w:hint="eastAsia"/>
          <w:b/>
          <w:sz w:val="24"/>
        </w:rPr>
        <w:t xml:space="preserve">4.1 </w:t>
      </w:r>
      <w:r w:rsidR="00FB089E">
        <w:rPr>
          <w:rFonts w:ascii="仿宋" w:eastAsia="仿宋" w:hAnsi="仿宋" w:cs="仿宋" w:hint="eastAsia"/>
          <w:b/>
          <w:sz w:val="24"/>
        </w:rPr>
        <w:t>报告期内产品投资策略</w:t>
      </w:r>
      <w:r>
        <w:rPr>
          <w:rFonts w:ascii="仿宋" w:eastAsia="仿宋" w:hAnsi="仿宋" w:cs="仿宋" w:hint="eastAsia"/>
          <w:b/>
          <w:sz w:val="24"/>
        </w:rPr>
        <w:t>回顾</w:t>
      </w:r>
    </w:p>
    <w:p w:rsidR="00461C5A" w:rsidP="00FB089E">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2023年1季度以来，利率债收益率震荡，信用债收益率整体下行，债市经历了对经济复苏的强预期到弱预期的修复。春节前，受疫情防控政策和房地产政策调整影响，市场对经济复苏预期强烈，春节后，信贷开门红，但市场对实体经济复苏存在较大分歧，理财赎回风波缓解后，银行理财对信用债配置带动信用债收益率大幅下行，3月后，两会设定的GDP增速目标低于市场预期，出口走弱，叠加3月底央行超预期降准，带动中短期债券收益率下行。从收益率来看，当前10年国债收益率2.87%，较年初小幅上行，当前3年期AA+城投债收益率3.23%，较年初下行40bp，当前3年期AAA二级资本债收益率3.28%，较年初下行8bp。本产品主要配置固收类资产，债券部分以信用债为主，受益于一季度信用债收益率大幅下行，通过杠杆策略和久期策略，产品净值收益表现较好。</w:t>
      </w:r>
    </w:p>
    <w:p w:rsidR="00461C5A" w:rsidP="00FB089E">
      <w:pPr>
        <w:adjustRightInd w:val="0"/>
        <w:snapToGrid w:val="0"/>
        <w:spacing w:line="440" w:lineRule="exact"/>
        <w:outlineLvl w:val="2"/>
        <w:rPr>
          <w:rFonts w:ascii="仿宋" w:eastAsia="仿宋" w:hAnsi="仿宋" w:cs="仿宋"/>
          <w:b/>
          <w:sz w:val="24"/>
        </w:rPr>
      </w:pPr>
      <w:r w:rsidRPr="00FB089E">
        <w:rPr>
          <w:rFonts w:ascii="仿宋" w:eastAsia="仿宋" w:hAnsi="仿宋" w:cs="仿宋" w:hint="eastAsia"/>
          <w:b/>
          <w:sz w:val="24"/>
        </w:rPr>
        <w:t>4.2</w:t>
      </w:r>
      <w:r>
        <w:rPr>
          <w:rFonts w:ascii="仿宋" w:eastAsia="仿宋" w:hAnsi="仿宋" w:cs="仿宋" w:hint="eastAsia"/>
          <w:b/>
          <w:sz w:val="24"/>
        </w:rPr>
        <w:t>产品未来展望</w:t>
      </w:r>
    </w:p>
    <w:p w:rsidR="00461C5A" w:rsidP="00FB089E">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展望2023年2季度，从基本面来看，无论从经济高频数据还是前瞻性数据来看，经济逐步复苏的态势仍在延续，从票据利率看银行信贷投放依然积极，消费、地产投资增速仍在修复过程中；从政策面来看，3月央行降准显示对银行间资金面市场的呵护，市场利率大概率围绕政策利率波动，短端债券收益率上行的空间有限。整体来说，经济弱复苏延续，货币政策保持相对宽松，债市流动性环境相对友好，后续理财规模增长情况、出口回落速度、货币政策是否会进一步宽松等将是影响2季度债市的重要变量。我们预期2季度债券收益率整体小幅波动。策略上，保持一定杠杆比例，适时把握利率债的阶段性交易机会。</w:t>
      </w:r>
    </w:p>
    <w:p w:rsidR="00461C5A" w:rsidP="00FB089E">
      <w:pPr>
        <w:adjustRightInd w:val="0"/>
        <w:snapToGrid w:val="0"/>
        <w:spacing w:line="440" w:lineRule="exact"/>
        <w:outlineLvl w:val="2"/>
        <w:rPr>
          <w:rFonts w:ascii="仿宋" w:eastAsia="仿宋" w:hAnsi="仿宋" w:cs="仿宋"/>
          <w:b/>
          <w:sz w:val="24"/>
        </w:rPr>
      </w:pPr>
      <w:r w:rsidRPr="00FB089E">
        <w:rPr>
          <w:rFonts w:ascii="仿宋" w:eastAsia="仿宋" w:hAnsi="仿宋" w:cs="仿宋" w:hint="eastAsia"/>
          <w:b/>
          <w:sz w:val="24"/>
        </w:rPr>
        <w:t>4.3</w:t>
      </w:r>
      <w:r>
        <w:rPr>
          <w:rFonts w:ascii="仿宋" w:eastAsia="仿宋" w:hAnsi="仿宋" w:cs="仿宋" w:hint="eastAsia"/>
          <w:b/>
          <w:sz w:val="24"/>
        </w:rPr>
        <w:t>投资组合的流动性风险分析</w:t>
      </w:r>
    </w:p>
    <w:p w:rsidR="00461C5A" w:rsidP="00FB089E">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本产品主要直接或者间接投资于债券类资产，投资的债券资产流动性状况良好，正常情况下能够及时变现资产，筹集资金，满足本产品的投资者赎回需求或其他支付要求。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461C5A" w:rsidRPr="00FB089E" w:rsidP="00FB089E">
      <w:pPr>
        <w:adjustRightInd w:val="0"/>
        <w:snapToGrid w:val="0"/>
        <w:spacing w:line="440" w:lineRule="exact"/>
        <w:outlineLvl w:val="2"/>
        <w:rPr>
          <w:rFonts w:ascii="仿宋" w:eastAsia="仿宋" w:hAnsi="仿宋" w:cs="仿宋"/>
          <w:b/>
          <w:sz w:val="24"/>
        </w:rPr>
      </w:pPr>
      <w:r w:rsidRPr="00FB089E">
        <w:rPr>
          <w:rFonts w:ascii="仿宋" w:eastAsia="仿宋" w:hAnsi="仿宋" w:cs="仿宋" w:hint="eastAsia"/>
          <w:b/>
          <w:sz w:val="24"/>
        </w:rPr>
        <w:t xml:space="preserve">4.4 </w:t>
      </w:r>
      <w:r w:rsidR="00FB089E">
        <w:rPr>
          <w:rFonts w:ascii="仿宋" w:eastAsia="仿宋" w:hAnsi="仿宋" w:cs="仿宋" w:hint="eastAsia"/>
          <w:b/>
          <w:sz w:val="24"/>
        </w:rPr>
        <w:t>报告期末穿透前</w:t>
      </w:r>
      <w:r w:rsidRPr="00FB089E">
        <w:rPr>
          <w:rFonts w:ascii="仿宋" w:eastAsia="仿宋" w:hAnsi="仿宋" w:cs="仿宋" w:hint="eastAsia"/>
          <w:b/>
          <w:sz w:val="24"/>
        </w:rPr>
        <w:t>投资组合分类</w:t>
      </w:r>
    </w:p>
    <w:tbl>
      <w:tblPr>
        <w:tblW w:w="9019" w:type="dxa"/>
        <w:tblInd w:w="-5" w:type="dxa"/>
        <w:tblLayout w:type="fixed"/>
        <w:tblCellMar>
          <w:left w:w="0" w:type="dxa"/>
          <w:right w:w="0" w:type="dxa"/>
        </w:tblCellMar>
        <w:tblLook w:val="04A0"/>
      </w:tblPr>
      <w:tblGrid>
        <w:gridCol w:w="572"/>
        <w:gridCol w:w="5614"/>
        <w:gridCol w:w="2833"/>
      </w:tblGrid>
      <w:tr>
        <w:tblPrEx>
          <w:tblW w:w="9019" w:type="dxa"/>
          <w:tblInd w:w="-5" w:type="dxa"/>
          <w:tblLayout w:type="fixed"/>
          <w:tblCellMar>
            <w:left w:w="0" w:type="dxa"/>
            <w:right w:w="0" w:type="dxa"/>
          </w:tblCellMar>
          <w:tblLook w:val="04A0"/>
        </w:tblPrEx>
        <w:trPr>
          <w:trHeight w:val="415"/>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5614" w:type="dxa"/>
            <w:tcBorders>
              <w:top w:val="single" w:sz="4" w:space="0" w:color="auto"/>
              <w:left w:val="nil"/>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833" w:type="dxa"/>
            <w:tcBorders>
              <w:top w:val="single" w:sz="4" w:space="0" w:color="auto"/>
              <w:left w:val="nil"/>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期末占总资产比例（％）</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0.17%</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2</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3</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4</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31.65%</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5</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4.69%</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6</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7</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8</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9</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10</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11</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12</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13</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63.49%</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14</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15</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461C5A" w:rsidP="00FB089E">
      <w:pPr>
        <w:adjustRightInd w:val="0"/>
        <w:snapToGrid w:val="0"/>
        <w:spacing w:line="440" w:lineRule="exact"/>
        <w:outlineLvl w:val="2"/>
        <w:rPr>
          <w:rFonts w:ascii="仿宋" w:eastAsia="仿宋" w:hAnsi="仿宋" w:cs="仿宋"/>
          <w:b/>
          <w:sz w:val="24"/>
        </w:rPr>
      </w:pPr>
      <w:r>
        <w:rPr>
          <w:rFonts w:ascii="仿宋" w:eastAsia="仿宋" w:hAnsi="仿宋" w:cs="仿宋" w:hint="eastAsia"/>
          <w:b/>
          <w:sz w:val="24"/>
        </w:rPr>
        <w:t xml:space="preserve">4.5 </w:t>
      </w:r>
      <w:r w:rsidR="00FB089E">
        <w:rPr>
          <w:rFonts w:ascii="仿宋" w:eastAsia="仿宋" w:hAnsi="仿宋" w:cs="仿宋" w:hint="eastAsia"/>
          <w:b/>
          <w:sz w:val="24"/>
        </w:rPr>
        <w:t>报告期末穿透后</w:t>
      </w:r>
      <w:r>
        <w:rPr>
          <w:rFonts w:ascii="仿宋" w:eastAsia="仿宋" w:hAnsi="仿宋" w:cs="仿宋" w:hint="eastAsia"/>
          <w:b/>
          <w:sz w:val="24"/>
        </w:rPr>
        <w:t>投资组合分类</w:t>
      </w:r>
    </w:p>
    <w:tbl>
      <w:tblPr>
        <w:tblW w:w="9019" w:type="dxa"/>
        <w:tblInd w:w="-5" w:type="dxa"/>
        <w:tblLayout w:type="fixed"/>
        <w:tblCellMar>
          <w:left w:w="0" w:type="dxa"/>
          <w:right w:w="0" w:type="dxa"/>
        </w:tblCellMar>
        <w:tblLook w:val="04A0"/>
      </w:tblPr>
      <w:tblGrid>
        <w:gridCol w:w="572"/>
        <w:gridCol w:w="5647"/>
        <w:gridCol w:w="2800"/>
      </w:tblGrid>
      <w:tr>
        <w:tblPrEx>
          <w:tblW w:w="9019" w:type="dxa"/>
          <w:tblInd w:w="-5" w:type="dxa"/>
          <w:tblLayout w:type="fixed"/>
          <w:tblCellMar>
            <w:left w:w="0" w:type="dxa"/>
            <w:right w:w="0" w:type="dxa"/>
          </w:tblCellMar>
          <w:tblLook w:val="04A0"/>
        </w:tblPrEx>
        <w:trPr>
          <w:trHeight w:val="415"/>
        </w:trPr>
        <w:tc>
          <w:tcPr>
            <w:tcW w:w="572"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5647"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highlight w:val="yellow"/>
              </w:rPr>
            </w:pPr>
            <w:r>
              <w:rPr>
                <w:rFonts w:ascii="仿宋" w:eastAsia="仿宋" w:hAnsi="仿宋" w:cs="仿宋" w:hint="eastAsia"/>
                <w:sz w:val="24"/>
              </w:rPr>
              <w:t>项目</w:t>
            </w:r>
          </w:p>
        </w:tc>
        <w:tc>
          <w:tcPr>
            <w:tcW w:w="2800"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期末占总资产比例（％）</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现金及银行存款</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0.86%</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2</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同业存单</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3</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拆放同业及债券买入返售</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1.59%</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4</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债券</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92.86%</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5</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非标准化债权类资产</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4.69%</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6</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权益类投资</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7</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金融衍生品</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8</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代客境外理财投资QDII</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9</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商品类资产</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10</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另类资产</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11</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公募基金</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12</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私募基金</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13</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资产管理产品</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14</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委外投资——协议方式</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15</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合计</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100.00%</w:t>
            </w:r>
          </w:p>
        </w:tc>
      </w:tr>
    </w:tbl>
    <w:p w:rsidR="00461C5A" w:rsidRPr="00FB089E" w:rsidP="00FB089E">
      <w:pPr>
        <w:adjustRightInd w:val="0"/>
        <w:snapToGrid w:val="0"/>
        <w:spacing w:line="440" w:lineRule="exact"/>
        <w:outlineLvl w:val="2"/>
        <w:rPr>
          <w:rFonts w:ascii="仿宋" w:eastAsia="仿宋" w:hAnsi="仿宋" w:cs="仿宋"/>
          <w:b/>
          <w:sz w:val="24"/>
        </w:rPr>
      </w:pPr>
      <w:r w:rsidRPr="00FB089E">
        <w:rPr>
          <w:rFonts w:ascii="仿宋" w:eastAsia="仿宋" w:hAnsi="仿宋" w:cs="仿宋" w:hint="eastAsia"/>
          <w:b/>
          <w:sz w:val="24"/>
        </w:rPr>
        <w:t>4.6报告期末投资前十名资产明细</w:t>
      </w:r>
    </w:p>
    <w:p w:rsidR="00461C5A" w:rsidP="004458C8">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华润信托钱盈1号集合资金信托计划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405,938,996.52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66.71%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23南湖投资03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30,003,508.20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4.93%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22仲恺城发债</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20,461,342.47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3.36%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22望城经开MTN001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19,998,153.01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3.29%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22安吉城投PPN001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15,218,321.92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2.50%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22温州高新PPN001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10,274,849.32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1.69%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22滨江新城PPN001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10,131,000.00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1.66%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22镇江城建PPN006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10,056,153.42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1.65%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22曲水债01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10,024,035.62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1.65%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22宜兴能源PPN001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10,019,723.29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1.65%</w:t>
            </w:r>
          </w:p>
        </w:tc>
      </w:tr>
    </w:tbl>
    <w:p w:rsidR="00461C5A" w:rsidP="00FB089E">
      <w:pPr>
        <w:adjustRightInd w:val="0"/>
        <w:snapToGrid w:val="0"/>
        <w:spacing w:line="440" w:lineRule="exact"/>
        <w:outlineLvl w:val="2"/>
        <w:rPr>
          <w:rFonts w:ascii="仿宋" w:eastAsia="仿宋" w:hAnsi="仿宋" w:cs="仿宋"/>
          <w:b/>
          <w:sz w:val="24"/>
        </w:rPr>
      </w:pPr>
      <w:r>
        <w:rPr>
          <w:rFonts w:ascii="仿宋" w:eastAsia="仿宋" w:hAnsi="仿宋" w:cs="仿宋" w:hint="eastAsia"/>
          <w:b/>
          <w:sz w:val="24"/>
        </w:rPr>
        <w:t>4.7 报告期融资情况</w:t>
      </w:r>
    </w:p>
    <w:p w:rsidR="00461C5A" w:rsidRPr="004458C8" w:rsidP="004458C8">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767"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kern w:val="0"/>
                <w:sz w:val="24"/>
              </w:rPr>
            </w:pPr>
            <w:r>
              <w:rPr>
                <w:rFonts w:ascii="仿宋" w:eastAsia="仿宋" w:hAnsi="仿宋" w:cs="仿宋" w:hint="eastAsia"/>
                <w:kern w:val="0"/>
                <w:sz w:val="24"/>
              </w:rPr>
              <w:t>30,006,082.20</w:t>
            </w:r>
          </w:p>
        </w:tc>
        <w:tc>
          <w:tcPr>
            <w:tcW w:w="2767"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kern w:val="0"/>
                <w:sz w:val="24"/>
              </w:rPr>
            </w:pPr>
            <w:r>
              <w:rPr>
                <w:rFonts w:ascii="仿宋" w:eastAsia="仿宋" w:hAnsi="仿宋" w:cs="仿宋" w:hint="eastAsia"/>
                <w:kern w:val="0"/>
                <w:sz w:val="24"/>
              </w:rPr>
              <w:t>4.93%</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461C5A" w:rsidP="00FB089E">
      <w:pPr>
        <w:adjustRightInd w:val="0"/>
        <w:snapToGrid w:val="0"/>
        <w:spacing w:line="440" w:lineRule="exact"/>
        <w:outlineLvl w:val="2"/>
        <w:rPr>
          <w:rFonts w:ascii="仿宋" w:eastAsia="仿宋" w:hAnsi="仿宋" w:cs="仿宋"/>
          <w:b/>
          <w:sz w:val="24"/>
        </w:rPr>
      </w:pPr>
      <w:bookmarkStart w:id="2" w:name="_Toc481074947"/>
      <w:r>
        <w:rPr>
          <w:rFonts w:ascii="仿宋" w:eastAsia="仿宋" w:hAnsi="仿宋" w:cs="仿宋" w:hint="eastAsia"/>
          <w:b/>
          <w:sz w:val="24"/>
        </w:rPr>
        <w:t>4.8报告期末投资非标准化债权资产</w:t>
      </w:r>
      <w:bookmarkEnd w:id="2"/>
      <w:r>
        <w:rPr>
          <w:rFonts w:ascii="仿宋" w:eastAsia="仿宋" w:hAnsi="仿宋" w:cs="仿宋" w:hint="eastAsia"/>
          <w:b/>
          <w:sz w:val="24"/>
        </w:rPr>
        <w:t>情况</w:t>
      </w:r>
    </w:p>
    <w:p w:rsidR="00461C5A">
      <w:pPr>
        <w:adjustRightInd w:val="0"/>
        <w:snapToGrid w:val="0"/>
        <w:spacing w:line="380" w:lineRule="exact"/>
        <w:ind w:firstLine="5880" w:firstLineChars="2800"/>
        <w:rPr>
          <w:rFonts w:ascii="仿宋" w:eastAsia="仿宋" w:hAnsi="仿宋" w:cs="仿宋"/>
          <w:sz w:val="24"/>
        </w:rPr>
      </w:pPr>
      <w:r>
        <w:rPr>
          <w:rFonts w:ascii="仿宋" w:eastAsia="仿宋" w:hAnsi="仿宋" w:cs="仿宋" w:hint="eastAsia"/>
          <w:sz w:val="24"/>
        </w:rPr>
        <w:t>单位：人民币元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资产价值（元）</w:t>
            </w:r>
          </w:p>
        </w:tc>
        <w:tc>
          <w:tcPr>
            <w:tcW w:w="802"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嘉兴市南湖投资开发建设集团有限公司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23南湖投资03</w:t>
            </w:r>
          </w:p>
        </w:tc>
        <w:tc>
          <w:tcPr>
            <w:tcW w:w="1041"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20230919</w:t>
            </w:r>
          </w:p>
        </w:tc>
        <w:tc>
          <w:tcPr>
            <w:tcW w:w="1833"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30,003,508.20</w:t>
            </w:r>
          </w:p>
        </w:tc>
        <w:tc>
          <w:tcPr>
            <w:tcW w:w="802"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理财直接融资工具</w:t>
            </w:r>
          </w:p>
        </w:tc>
        <w:tc>
          <w:tcPr>
            <w:tcW w:w="970"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利随本清，到期一次还本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461C5A">
      <w:pPr>
        <w:adjustRightInd w:val="0"/>
        <w:snapToGrid w:val="0"/>
        <w:spacing w:line="380" w:lineRule="exact"/>
        <w:rPr>
          <w:rFonts w:ascii="仿宋" w:eastAsia="仿宋" w:hAnsi="仿宋" w:cs="仿宋"/>
          <w:color w:val="0000FF"/>
          <w:kern w:val="0"/>
          <w:sz w:val="24"/>
          <w:highlight w:val="yellow"/>
        </w:rPr>
      </w:pPr>
    </w:p>
    <w:p w:rsidR="00461C5A" w:rsidP="004458C8">
      <w:pPr>
        <w:pStyle w:val="Heading2"/>
        <w:adjustRightInd w:val="0"/>
        <w:snapToGrid w:val="0"/>
        <w:spacing w:line="560" w:lineRule="exact"/>
        <w:jc w:val="center"/>
        <w:rPr>
          <w:rFonts w:ascii="仿宋" w:eastAsia="仿宋" w:hAnsi="仿宋" w:cs="仿宋"/>
          <w:sz w:val="24"/>
        </w:rPr>
      </w:pPr>
      <w:r w:rsidRPr="004458C8">
        <w:rPr>
          <w:rFonts w:ascii="仿宋" w:eastAsia="仿宋" w:hAnsi="仿宋" w:cs="仿宋" w:hint="eastAsia"/>
          <w:sz w:val="24"/>
        </w:rPr>
        <w:t>§</w:t>
      </w:r>
      <w:r>
        <w:rPr>
          <w:rFonts w:ascii="仿宋" w:eastAsia="仿宋" w:hAnsi="仿宋" w:cs="仿宋" w:hint="eastAsia"/>
          <w:sz w:val="24"/>
        </w:rPr>
        <w:t>5  产品份额变动</w:t>
      </w:r>
    </w:p>
    <w:p w:rsidR="00461C5A" w:rsidP="004458C8">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461C5A">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461C5A">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1,309,939,380.43</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461C5A">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461C5A">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544,240,489.34</w:t>
            </w:r>
          </w:p>
        </w:tc>
      </w:tr>
    </w:tbl>
    <w:p w:rsidR="00461C5A">
      <w:pPr>
        <w:widowControl/>
        <w:adjustRightInd w:val="0"/>
        <w:snapToGrid w:val="0"/>
        <w:jc w:val="left"/>
        <w:rPr>
          <w:rFonts w:ascii="仿宋" w:eastAsia="仿宋" w:hAnsi="仿宋" w:cs="仿宋"/>
          <w:color w:val="404040"/>
          <w:kern w:val="0"/>
          <w:sz w:val="24"/>
        </w:rPr>
      </w:pPr>
    </w:p>
    <w:p w:rsidR="00461C5A" w:rsidRPr="004458C8" w:rsidP="004458C8">
      <w:pPr>
        <w:pStyle w:val="Heading2"/>
        <w:adjustRightInd w:val="0"/>
        <w:snapToGrid w:val="0"/>
        <w:spacing w:line="560" w:lineRule="exact"/>
        <w:jc w:val="center"/>
        <w:rPr>
          <w:rFonts w:ascii="仿宋" w:eastAsia="仿宋" w:hAnsi="仿宋" w:cs="仿宋"/>
          <w:sz w:val="24"/>
        </w:rPr>
      </w:pPr>
      <w:r w:rsidRPr="004458C8">
        <w:rPr>
          <w:rFonts w:ascii="仿宋" w:eastAsia="仿宋" w:hAnsi="仿宋" w:cs="仿宋" w:hint="eastAsia"/>
          <w:sz w:val="24"/>
        </w:rPr>
        <w:t>§6 托管人报告</w:t>
      </w:r>
    </w:p>
    <w:p w:rsidR="00461C5A">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报告期内，杭州银行股份有限公司（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461C5A" w:rsidP="004458C8">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本托管人复核了本产品报告中的财务指标、净值表现和投资组合报告等内容。经复核，本产品报告中披露的理财产品财务数据核对一致。</w:t>
      </w:r>
    </w:p>
    <w:p w:rsidR="004458C8" w:rsidRPr="004458C8" w:rsidP="00FB089E">
      <w:pPr>
        <w:adjustRightInd w:val="0"/>
        <w:snapToGrid w:val="0"/>
        <w:rPr>
          <w:rFonts w:ascii="仿宋" w:eastAsia="仿宋" w:hAnsi="仿宋" w:cs="仿宋"/>
          <w:bCs/>
          <w:sz w:val="24"/>
        </w:rPr>
      </w:pPr>
    </w:p>
    <w:p w:rsidR="00461C5A" w:rsidRPr="004458C8" w:rsidP="004458C8">
      <w:pPr>
        <w:pStyle w:val="Heading2"/>
        <w:adjustRightInd w:val="0"/>
        <w:snapToGrid w:val="0"/>
        <w:spacing w:line="560" w:lineRule="exact"/>
        <w:jc w:val="center"/>
        <w:rPr>
          <w:rFonts w:ascii="仿宋" w:eastAsia="仿宋" w:hAnsi="仿宋" w:cs="仿宋"/>
          <w:sz w:val="24"/>
        </w:rPr>
      </w:pPr>
      <w:r w:rsidRPr="004458C8">
        <w:rPr>
          <w:rFonts w:ascii="仿宋" w:eastAsia="仿宋" w:hAnsi="仿宋" w:cs="仿宋" w:hint="eastAsia"/>
          <w:sz w:val="24"/>
        </w:rPr>
        <w:t>§7 报告期内关联交易情况</w:t>
      </w:r>
    </w:p>
    <w:p w:rsidR="00461C5A" w:rsidP="004458C8">
      <w:pPr>
        <w:adjustRightInd w:val="0"/>
        <w:snapToGrid w:val="0"/>
        <w:spacing w:line="440" w:lineRule="exact"/>
        <w:outlineLvl w:val="2"/>
        <w:rPr>
          <w:rFonts w:ascii="仿宋" w:eastAsia="仿宋" w:hAnsi="仿宋" w:cs="仿宋"/>
          <w:b/>
          <w:sz w:val="24"/>
        </w:rPr>
      </w:pPr>
      <w:r>
        <w:rPr>
          <w:rFonts w:ascii="仿宋" w:eastAsia="仿宋" w:hAnsi="仿宋" w:cs="仿宋" w:hint="eastAsia"/>
          <w:b/>
          <w:sz w:val="24"/>
        </w:rPr>
        <w:t>7.1 产品投资于关联</w:t>
      </w:r>
      <w:r>
        <w:rPr>
          <w:rFonts w:ascii="仿宋" w:eastAsia="仿宋" w:hAnsi="仿宋" w:cs="仿宋" w:hint="eastAsia"/>
          <w:b/>
          <w:sz w:val="24"/>
        </w:rPr>
        <w:t>方发行</w:t>
      </w:r>
      <w:r>
        <w:rPr>
          <w:rFonts w:ascii="仿宋" w:eastAsia="仿宋" w:hAnsi="仿宋" w:cs="仿宋" w:hint="eastAsia"/>
          <w:b/>
          <w:sz w:val="24"/>
        </w:rPr>
        <w:t>或承销的证券、资产管理产品，或其他关联交易</w:t>
      </w:r>
    </w:p>
    <w:p w:rsidR="00461C5A" w:rsidP="004458C8">
      <w:pPr>
        <w:adjustRightInd w:val="0"/>
        <w:snapToGrid w:val="0"/>
        <w:spacing w:line="440" w:lineRule="exact"/>
        <w:ind w:firstLine="5460" w:firstLineChars="2600"/>
        <w:jc w:val="right"/>
        <w:rPr>
          <w:rFonts w:ascii="仿宋" w:eastAsia="仿宋" w:hAnsi="仿宋" w:cs="仿宋"/>
          <w:b/>
          <w:sz w:val="24"/>
        </w:rPr>
      </w:pPr>
      <w:r>
        <w:rPr>
          <w:rFonts w:ascii="仿宋" w:eastAsia="仿宋" w:hAnsi="仿宋" w:cs="仿宋" w:hint="eastAsia"/>
          <w:sz w:val="24"/>
        </w:rPr>
        <w:t>单位：元、份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1605"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c>
          <w:tcPr>
            <w:tcW w:w="1905"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r>
        <w:tblPrEx>
          <w:tblW w:w="8994" w:type="dxa"/>
          <w:tblInd w:w="67" w:type="dxa"/>
          <w:tblLayout w:type="fixed"/>
          <w:tblLook w:val="04A0"/>
        </w:tblPrEx>
        <w:trPr>
          <w:trHeight w:val="462"/>
        </w:trPr>
        <w:tc>
          <w:tcPr>
            <w:tcW w:w="63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w:t>
            </w:r>
          </w:p>
        </w:tc>
        <w:tc>
          <w:tcPr>
            <w:tcW w:w="1605"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1401"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22盛裕投资MTN002</w:t>
            </w:r>
          </w:p>
        </w:tc>
        <w:tc>
          <w:tcPr>
            <w:tcW w:w="791"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债券</w:t>
            </w:r>
          </w:p>
        </w:tc>
        <w:tc>
          <w:tcPr>
            <w:tcW w:w="75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买入</w:t>
            </w:r>
          </w:p>
        </w:tc>
        <w:tc>
          <w:tcPr>
            <w:tcW w:w="190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10,170,826.30</w:t>
            </w:r>
          </w:p>
        </w:tc>
        <w:tc>
          <w:tcPr>
            <w:tcW w:w="1905"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100,000.00</w:t>
            </w:r>
          </w:p>
        </w:tc>
      </w:tr>
      <w:tr>
        <w:tblPrEx>
          <w:tblW w:w="8994" w:type="dxa"/>
          <w:tblInd w:w="67" w:type="dxa"/>
          <w:tblLayout w:type="fixed"/>
          <w:tblLook w:val="04A0"/>
        </w:tblPrEx>
        <w:trPr>
          <w:trHeight w:val="462"/>
        </w:trPr>
        <w:tc>
          <w:tcPr>
            <w:tcW w:w="63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w:t>
            </w:r>
          </w:p>
        </w:tc>
        <w:tc>
          <w:tcPr>
            <w:tcW w:w="1605"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1401"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22盛裕投资MTN002</w:t>
            </w:r>
          </w:p>
        </w:tc>
        <w:tc>
          <w:tcPr>
            <w:tcW w:w="791"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债券</w:t>
            </w:r>
          </w:p>
        </w:tc>
        <w:tc>
          <w:tcPr>
            <w:tcW w:w="75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卖出</w:t>
            </w:r>
          </w:p>
        </w:tc>
        <w:tc>
          <w:tcPr>
            <w:tcW w:w="190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10,294,317.95</w:t>
            </w:r>
          </w:p>
        </w:tc>
        <w:tc>
          <w:tcPr>
            <w:tcW w:w="1905"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100,000.00</w:t>
            </w:r>
          </w:p>
        </w:tc>
      </w:tr>
      <w:tr>
        <w:tblPrEx>
          <w:tblW w:w="8994" w:type="dxa"/>
          <w:tblInd w:w="67" w:type="dxa"/>
          <w:tblLayout w:type="fixed"/>
          <w:tblLook w:val="04A0"/>
        </w:tblPrEx>
        <w:trPr>
          <w:trHeight w:val="462"/>
        </w:trPr>
        <w:tc>
          <w:tcPr>
            <w:tcW w:w="63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3</w:t>
            </w:r>
          </w:p>
        </w:tc>
        <w:tc>
          <w:tcPr>
            <w:tcW w:w="1605"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1401"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23南湖投资03</w:t>
            </w:r>
          </w:p>
        </w:tc>
        <w:tc>
          <w:tcPr>
            <w:tcW w:w="791"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理财直融工具</w:t>
            </w:r>
          </w:p>
        </w:tc>
        <w:tc>
          <w:tcPr>
            <w:tcW w:w="75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买入</w:t>
            </w:r>
          </w:p>
        </w:tc>
        <w:tc>
          <w:tcPr>
            <w:tcW w:w="190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30,000,000.00</w:t>
            </w:r>
          </w:p>
        </w:tc>
        <w:tc>
          <w:tcPr>
            <w:tcW w:w="1905"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30,000,000.00</w:t>
            </w:r>
          </w:p>
        </w:tc>
      </w:tr>
    </w:tbl>
    <w:p w:rsidR="00461C5A" w:rsidP="00FB089E">
      <w:pPr>
        <w:adjustRightInd w:val="0"/>
        <w:snapToGrid w:val="0"/>
        <w:spacing w:line="440" w:lineRule="exact"/>
        <w:outlineLvl w:val="2"/>
        <w:rPr>
          <w:rFonts w:ascii="仿宋" w:eastAsia="仿宋" w:hAnsi="仿宋" w:cs="仿宋"/>
          <w:b/>
          <w:sz w:val="24"/>
        </w:rPr>
      </w:pPr>
      <w:r>
        <w:rPr>
          <w:rFonts w:ascii="仿宋" w:eastAsia="仿宋" w:hAnsi="仿宋" w:cs="仿宋" w:hint="eastAsia"/>
          <w:b/>
          <w:sz w:val="24"/>
        </w:rPr>
        <w:t>7.2 产品向关联方支付的费用</w:t>
      </w:r>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r>
      <w:tr>
        <w:tblPrEx>
          <w:tblW w:w="8994" w:type="dxa"/>
          <w:tblInd w:w="67" w:type="dxa"/>
          <w:tblLayout w:type="fixed"/>
          <w:tblLook w:val="04A0"/>
        </w:tblPrEx>
        <w:trPr>
          <w:trHeight w:val="187"/>
        </w:trPr>
        <w:tc>
          <w:tcPr>
            <w:tcW w:w="694" w:type="dxa"/>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w:t>
            </w:r>
          </w:p>
        </w:tc>
        <w:tc>
          <w:tcPr>
            <w:tcW w:w="2958"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2202"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托管费</w:t>
            </w:r>
          </w:p>
        </w:tc>
        <w:tc>
          <w:tcPr>
            <w:tcW w:w="3140"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187,553.10</w:t>
            </w:r>
          </w:p>
        </w:tc>
      </w:tr>
    </w:tbl>
    <w:p w:rsidR="00461C5A">
      <w:pPr>
        <w:widowControl/>
        <w:adjustRightInd w:val="0"/>
        <w:snapToGrid w:val="0"/>
        <w:ind w:firstLine="420" w:firstLineChars="200"/>
        <w:jc w:val="left"/>
        <w:rPr>
          <w:rFonts w:ascii="仿宋" w:eastAsia="仿宋" w:hAnsi="仿宋" w:cs="仿宋"/>
          <w:color w:val="404040"/>
          <w:kern w:val="0"/>
          <w:sz w:val="24"/>
        </w:rPr>
      </w:pPr>
    </w:p>
    <w:p w:rsidR="00461C5A">
      <w:pPr>
        <w:widowControl/>
        <w:adjustRightInd w:val="0"/>
        <w:snapToGrid w:val="0"/>
        <w:ind w:firstLine="420" w:firstLineChars="200"/>
        <w:jc w:val="left"/>
        <w:rPr>
          <w:rFonts w:ascii="仿宋" w:eastAsia="仿宋" w:hAnsi="仿宋" w:cs="仿宋"/>
          <w:color w:val="404040"/>
          <w:kern w:val="0"/>
          <w:sz w:val="24"/>
        </w:rPr>
      </w:pPr>
    </w:p>
    <w:p w:rsidR="00461C5A">
      <w:pPr>
        <w:ind w:left="360"/>
        <w:jc w:val="right"/>
        <w:rPr>
          <w:rFonts w:ascii="仿宋" w:eastAsia="仿宋" w:hAnsi="仿宋" w:cs="仿宋"/>
          <w:sz w:val="24"/>
        </w:rPr>
      </w:pPr>
    </w:p>
    <w:p w:rsidR="00461C5A">
      <w:pPr>
        <w:ind w:left="360"/>
        <w:jc w:val="right"/>
        <w:rPr>
          <w:rFonts w:ascii="仿宋" w:eastAsia="仿宋" w:hAnsi="仿宋" w:cs="仿宋"/>
          <w:sz w:val="24"/>
        </w:rPr>
      </w:pPr>
      <w:r>
        <w:rPr>
          <w:rFonts w:ascii="仿宋" w:eastAsia="仿宋" w:hAnsi="仿宋" w:cs="仿宋" w:hint="eastAsia"/>
          <w:sz w:val="24"/>
        </w:rPr>
        <w:t>杭银理财</w:t>
      </w:r>
      <w:r>
        <w:rPr>
          <w:rFonts w:ascii="仿宋" w:eastAsia="仿宋" w:hAnsi="仿宋" w:cs="仿宋" w:hint="eastAsia"/>
          <w:sz w:val="24"/>
        </w:rPr>
        <w:t>有限责任公司</w:t>
      </w:r>
    </w:p>
    <w:p w:rsidR="00461C5A">
      <w:pPr>
        <w:jc w:val="right"/>
        <w:rPr>
          <w:sz w:val="24"/>
        </w:rPr>
      </w:pPr>
      <w:r>
        <w:rPr>
          <w:rFonts w:ascii="仿宋" w:eastAsia="仿宋" w:hAnsi="仿宋" w:cs="仿宋" w:hint="eastAsia"/>
          <w:sz w:val="24"/>
        </w:rPr>
        <w:t>2023年4月19日</w:t>
      </w:r>
    </w:p>
    <w:p w:rsidR="00461C5A"/>
    <w:p w:rsidR="00461C5A"/>
    <w:sectPr>
      <w:headerReference w:type="default" r:id="rId4"/>
      <w:pgSz w:w="11906" w:h="16838"/>
      <w:pgMar w:top="2551" w:right="1803" w:bottom="2551" w:left="1803" w:header="851" w:footer="992" w:gutter="0"/>
      <w:cols w:space="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宋体"/>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61C5A">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5"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34D0D"/>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
    <w:unhideWhenUsed/>
    <w:qFormat/>
    <w:pPr>
      <w:spacing w:after="120"/>
    </w:pPr>
    <w:rPr>
      <w:rFonts w:ascii="Times New Roman" w:eastAsia="方正仿宋简体" w:hAnsi="Times New Roman" w:cs="Times New Roman"/>
      <w:sz w:val="32"/>
      <w:szCs w:val="20"/>
    </w:rPr>
  </w:style>
  <w:style w:type="paragraph" w:styleId="Header">
    <w:name w:val="header"/>
    <w:basedOn w:val="Normal"/>
    <w:link w:val="a0"/>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NormalWeb">
    <w:name w:val="Normal (Web)"/>
    <w:basedOn w:val="Normal"/>
    <w:unhideWhenUsed/>
    <w:qFormat/>
    <w:pPr>
      <w:widowControl/>
      <w:spacing w:before="100" w:beforeAutospacing="1" w:after="100" w:afterAutospacing="1"/>
    </w:pPr>
    <w:rPr>
      <w:rFonts w:ascii="宋体" w:eastAsia="宋体" w:hAnsi="宋体" w:cs="Times New Roman"/>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
    <w:name w:val="标题 2 字符"/>
    <w:basedOn w:val="DefaultParagraphFont"/>
    <w:link w:val="Heading2"/>
    <w:rPr>
      <w:rFonts w:ascii="Arial" w:eastAsia="宋体" w:hAnsi="Arial"/>
      <w:b/>
    </w:rPr>
  </w:style>
  <w:style w:type="character" w:customStyle="1" w:styleId="3">
    <w:name w:val="标题 3 字符"/>
    <w:basedOn w:val="DefaultParagraphFont"/>
    <w:link w:val="Heading3"/>
    <w:rPr>
      <w:rFonts w:ascii="Times New Roman" w:eastAsia="宋体" w:hAnsi="Times New Roman"/>
      <w:b/>
    </w:rPr>
  </w:style>
  <w:style w:type="character" w:customStyle="1" w:styleId="a">
    <w:name w:val="正文文本 字符"/>
    <w:basedOn w:val="DefaultParagraphFont"/>
    <w:link w:val="BodyText"/>
    <w:qFormat/>
    <w:rPr>
      <w:rFonts w:ascii="Times New Roman" w:eastAsia="方正仿宋简体" w:hAnsi="Times New Roman" w:cs="Times New Roman"/>
      <w:sz w:val="32"/>
      <w:szCs w:val="20"/>
    </w:rPr>
  </w:style>
  <w:style w:type="character" w:customStyle="1" w:styleId="a0">
    <w:name w:val="页眉 字符"/>
    <w:basedOn w:val="DefaultParagraphFont"/>
    <w:link w:val="Header"/>
    <w:rPr>
      <w:sz w:val="18"/>
    </w:rPr>
  </w:style>
  <w:style w:type="paragraph" w:styleId="Footer">
    <w:name w:val="footer"/>
    <w:basedOn w:val="Normal"/>
    <w:link w:val="a1"/>
    <w:uiPriority w:val="99"/>
    <w:unhideWhenUsed/>
    <w:rsid w:val="0082523D"/>
    <w:pPr>
      <w:tabs>
        <w:tab w:val="center" w:pos="4153"/>
        <w:tab w:val="right" w:pos="8306"/>
      </w:tabs>
      <w:snapToGrid w:val="0"/>
      <w:jc w:val="left"/>
    </w:pPr>
    <w:rPr>
      <w:sz w:val="18"/>
      <w:szCs w:val="18"/>
    </w:rPr>
  </w:style>
  <w:style w:type="character" w:customStyle="1" w:styleId="a1">
    <w:name w:val="页脚 字符"/>
    <w:basedOn w:val="DefaultParagraphFont"/>
    <w:link w:val="Footer"/>
    <w:uiPriority w:val="99"/>
    <w:rsid w:val="0082523D"/>
    <w:rPr>
      <w:kern w:val="2"/>
      <w:sz w:val="18"/>
      <w:szCs w:val="18"/>
    </w:rPr>
  </w:style>
  <w:style w:type="paragraph" w:styleId="BalloonText">
    <w:name w:val="Balloon Text"/>
    <w:basedOn w:val="Normal"/>
    <w:link w:val="a2"/>
    <w:uiPriority w:val="99"/>
    <w:semiHidden/>
    <w:unhideWhenUsed/>
    <w:rsid w:val="00FB089E"/>
    <w:rPr>
      <w:sz w:val="18"/>
      <w:szCs w:val="18"/>
    </w:rPr>
  </w:style>
  <w:style w:type="character" w:customStyle="1" w:styleId="a2">
    <w:name w:val="批注框文本 字符"/>
    <w:basedOn w:val="DefaultParagraphFont"/>
    <w:link w:val="BalloonText"/>
    <w:uiPriority w:val="99"/>
    <w:semiHidden/>
    <w:rsid w:val="00FB089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theme" Target="theme/theme1.xml" /><Relationship Id="rId6" Type="http://schemas.openxmlformats.org/officeDocument/2006/relationships/styles" Target="styles.xm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181</TotalTime>
  <Pages>7</Pages>
  <Words>365</Words>
  <Characters>2082</Characters>
  <Application>Microsoft Office Word</Application>
  <DocSecurity>0</DocSecurity>
  <Lines>17</Lines>
  <Paragraphs>4</Paragraphs>
  <ScaleCrop>false</ScaleCrop>
  <Company/>
  <LinksUpToDate>false</LinksUpToDate>
  <CharactersWithSpaces>2443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wong surge</cp:lastModifiedBy>
  <cp:revision>18</cp:revision>
  <dcterms:created xsi:type="dcterms:W3CDTF">2023-04-13T06:44:00Z</dcterms:created>
  <dcterms:modified xsi:type="dcterms:W3CDTF">2023-04-14T08:04:00Z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2052-5.3.0.7863</vt:lpwstr>
  </property>
</Properties>
</file>