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半年添益2010期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半年添益2010期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TYG6M2010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2020年4月1日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3.30%-3.80%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1,783,177,464.35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100.35%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1,783,177,464.35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1,599,670,524.49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1.1147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1.1147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半年添益2010期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3.82</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1季度以来，利率债收益率震荡，信用债收益率整体下行，债市经历了对经济复苏的强预期到弱预期的修复。春节前，受疫情防控政策和房地产政策调整影响，市场对经济复苏预期强烈，春节后，信贷开门红，但市场对实体经济复苏存在较大分歧，理财赎回风波缓解后，银行理财对信用债配置带动信用债收益率大幅下行，3月后，两会设定的GDP增速目标低于市场预期，出口走弱，叠加3月底央行超预期降准，带动中短期债券收益率下行。从收益率来看，当前10年国债收益率2.87%，较年初小幅上行，当前3年期AA+城投债收益率3.23%，较年初下行40bp，当前3年期AAA二级资本债收益率3.28%，较年初下行8bp。本产品主要配置固收类资产，债券部分以信用债为主，受益于一季度信用债收益率大幅下行，通过杠杆策略和久期策略，产品净值收益表现较好。</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从基本面来看，无论从经济高频数据还是前瞻性数据来看，经济逐步复苏的态势仍在延续，从票据利率看银行信贷投放依然积极，消费、地产投资增速仍在修复过程中；从政策面来看，3月央行降准显示对银行间资金面市场的呵护，市场利率大概率围绕政策利率波动，短端债券收益率上行的空间有限。整体来说，经济弱复苏延续，货币政策保持相对宽松，债市流动性环境相对友好，后续理财规模增长情况、出口回落速度、货币政策是否会进一步宽松等将是影响2季度债市的重要变量。我们预期2季度债券收益率整体小幅波动。策略上，保持一定杠杆比例，适时把握利率债的阶段性交易机会。</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0.26%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83.65%</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16.09%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1.01%</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0.53%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96.66%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1.81%</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华润信托钱盈1号集合资金信托计划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137,777,754.57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粤财信托安盈稳利1号集合资金信托计划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105,967,725.95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5.94%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21桐庐新城PPN001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75,896,639.34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21梁溪经发PPN002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72,655,397.26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19交水01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62,181,616.44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22迪荡新投MTN001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60,083,606.56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22星发01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59,232,887.67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21德财02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51,504,575.34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22芜湖经开MTN001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41,301,052.05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40,953,479.45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1,599,670,524.49</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1,599,670,524.49</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22六合交通PPN001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10,207,313.70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销售费</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891,150.93</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