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32"/>
          <w:szCs w:val="20"/>
        </w:rPr>
      </w:pPr>
    </w:p>
    <w:p>
      <w:pPr>
        <w:adjustRightInd w:val="0"/>
        <w:snapToGrid w:val="0"/>
        <w:spacing w:line="460" w:lineRule="exact"/>
        <w:jc w:val="center"/>
        <w:rPr>
          <w:rFonts w:ascii="Times New Roman" w:hAnsi="Times New Roman" w:eastAsia="方正楷体简体"/>
          <w:sz w:val="24"/>
        </w:rPr>
      </w:pPr>
    </w:p>
    <w:p>
      <w:pPr>
        <w:pStyle w:val="2"/>
        <w:keepNext w:val="0"/>
        <w:keepLines w:val="0"/>
        <w:autoSpaceDE w:val="0"/>
        <w:autoSpaceDN w:val="0"/>
        <w:spacing w:before="220" w:line="240" w:lineRule="auto"/>
        <w:jc w:val="center"/>
        <w:rPr>
          <w:rFonts w:ascii="仿宋_GB2312" w:hAnsi="仿宋_GB2312" w:eastAsia="仿宋_GB2312" w:cs="仿宋_GB2312"/>
          <w:bCs/>
          <w:kern w:val="0"/>
          <w:sz w:val="52"/>
          <w:szCs w:val="52"/>
          <w:lang w:bidi="zh-CN"/>
        </w:rPr>
      </w:pPr>
      <w:r>
        <w:rPr>
          <w:rFonts w:hint="eastAsia" w:ascii="仿宋_GB2312" w:hAnsi="仿宋_GB2312" w:eastAsia="仿宋_GB2312" w:cs="仿宋_GB2312"/>
          <w:bCs/>
          <w:kern w:val="0"/>
          <w:sz w:val="52"/>
          <w:szCs w:val="52"/>
          <w:lang w:bidi="zh-CN"/>
        </w:rPr>
        <w:t>年添益2005期</w:t>
      </w:r>
    </w:p>
    <w:p>
      <w:pPr>
        <w:autoSpaceDE w:val="0"/>
        <w:autoSpaceDN w:val="0"/>
        <w:spacing w:line="360" w:lineRule="auto"/>
        <w:jc w:val="center"/>
        <w:rPr>
          <w:rFonts w:ascii="仿宋_GB2312" w:hAnsi="仿宋_GB2312" w:eastAsia="仿宋_GB2312" w:cs="仿宋_GB2312"/>
          <w:b/>
          <w:bCs/>
          <w:kern w:val="0"/>
          <w:sz w:val="44"/>
          <w:szCs w:val="44"/>
          <w:lang w:bidi="zh-CN"/>
        </w:rPr>
      </w:pPr>
      <w:r>
        <w:rPr>
          <w:rFonts w:hint="eastAsia" w:ascii="仿宋_GB2312" w:hAnsi="仿宋_GB2312" w:eastAsia="仿宋_GB2312" w:cs="仿宋_GB2312"/>
          <w:b/>
          <w:bCs/>
          <w:kern w:val="0"/>
          <w:sz w:val="44"/>
          <w:szCs w:val="44"/>
          <w:lang w:bidi="zh-CN"/>
        </w:rPr>
        <w:t>2023</w:t>
      </w:r>
      <w:r>
        <w:rPr>
          <w:rFonts w:ascii="仿宋_GB2312" w:hAnsi="仿宋_GB2312" w:eastAsia="仿宋_GB2312" w:cs="仿宋_GB2312"/>
          <w:b/>
          <w:sz w:val="44"/>
        </w:rPr>
        <w:t>年第1季度报告</w:t>
      </w:r>
    </w:p>
    <w:p>
      <w:pPr>
        <w:jc w:val="center"/>
        <w:rPr>
          <w:rFonts w:ascii="宋体" w:hAnsi="宋体" w:eastAsia="宋体" w:cs="Times New Roman"/>
          <w:color w:val="0000FF"/>
          <w:kern w:val="0"/>
          <w:sz w:val="18"/>
          <w:szCs w:val="20"/>
        </w:rPr>
      </w:pPr>
    </w:p>
    <w:p>
      <w:pPr>
        <w:jc w:val="center"/>
        <w:rPr>
          <w:rFonts w:eastAsia="宋体"/>
          <w:sz w:val="24"/>
        </w:rPr>
      </w:pPr>
    </w:p>
    <w:p>
      <w:pPr>
        <w:jc w:val="center"/>
        <w:rPr>
          <w:rFonts w:eastAsia="宋体"/>
          <w:sz w:val="24"/>
        </w:rPr>
      </w:pPr>
    </w:p>
    <w:p>
      <w:pPr>
        <w:jc w:val="center"/>
        <w:rPr>
          <w:rFonts w:ascii="仿宋" w:hAnsi="仿宋" w:eastAsia="仿宋" w:cs="仿宋"/>
          <w:sz w:val="24"/>
        </w:rPr>
      </w:pPr>
    </w:p>
    <w:p>
      <w:pPr>
        <w:jc w:val="center"/>
        <w:rPr>
          <w:rFonts w:ascii="仿宋" w:hAnsi="仿宋" w:eastAsia="仿宋" w:cs="仿宋"/>
          <w:sz w:val="24"/>
        </w:rPr>
      </w:pPr>
    </w:p>
    <w:p>
      <w:pPr>
        <w:jc w:val="center"/>
        <w:rPr>
          <w:rFonts w:ascii="仿宋" w:hAnsi="仿宋" w:eastAsia="仿宋" w:cs="仿宋"/>
          <w:sz w:val="24"/>
        </w:rPr>
      </w:pPr>
    </w:p>
    <w:p>
      <w:pPr>
        <w:jc w:val="center"/>
        <w:rPr>
          <w:rFonts w:ascii="仿宋" w:hAnsi="仿宋" w:eastAsia="仿宋" w:cs="仿宋"/>
          <w:sz w:val="24"/>
        </w:rPr>
      </w:pPr>
      <w:r>
        <w:rPr>
          <w:rFonts w:hint="eastAsia" w:ascii="仿宋" w:hAnsi="仿宋" w:eastAsia="仿宋" w:cs="仿宋"/>
          <w:sz w:val="24"/>
        </w:rPr>
        <w:t>产品管理人：</w:t>
      </w:r>
      <w:r>
        <w:rPr>
          <w:rFonts w:ascii="仿宋" w:hAnsi="仿宋" w:eastAsia="仿宋" w:cs="仿宋"/>
          <w:sz w:val="24"/>
        </w:rPr>
        <w:t>杭银理财有限责任公司</w:t>
      </w:r>
    </w:p>
    <w:p>
      <w:pPr>
        <w:jc w:val="center"/>
        <w:rPr>
          <w:rFonts w:ascii="仿宋" w:hAnsi="仿宋" w:eastAsia="仿宋" w:cs="仿宋"/>
          <w:sz w:val="24"/>
        </w:rPr>
      </w:pPr>
      <w:r>
        <w:rPr>
          <w:rFonts w:hint="eastAsia" w:ascii="仿宋" w:hAnsi="仿宋" w:eastAsia="仿宋" w:cs="仿宋"/>
          <w:sz w:val="24"/>
        </w:rPr>
        <w:t>产品托管人：</w:t>
      </w:r>
      <w:r>
        <w:rPr>
          <w:rFonts w:ascii="仿宋" w:hAnsi="仿宋" w:eastAsia="仿宋" w:cs="仿宋"/>
          <w:sz w:val="24"/>
        </w:rPr>
        <w:t>杭州银行股份有限公司</w:t>
      </w:r>
    </w:p>
    <w:p>
      <w:pPr>
        <w:jc w:val="center"/>
        <w:rPr>
          <w:rFonts w:ascii="仿宋" w:hAnsi="仿宋" w:eastAsia="仿宋" w:cs="仿宋"/>
          <w:sz w:val="24"/>
        </w:rPr>
      </w:pPr>
    </w:p>
    <w:p>
      <w:pPr>
        <w:jc w:val="center"/>
        <w:rPr>
          <w:rFonts w:ascii="仿宋" w:hAnsi="仿宋" w:eastAsia="仿宋" w:cs="仿宋"/>
          <w:sz w:val="24"/>
        </w:rPr>
      </w:pPr>
    </w:p>
    <w:p>
      <w:pPr>
        <w:jc w:val="center"/>
        <w:rPr>
          <w:rFonts w:ascii="仿宋" w:hAnsi="仿宋" w:eastAsia="仿宋" w:cs="仿宋"/>
          <w:sz w:val="24"/>
        </w:rPr>
      </w:pPr>
    </w:p>
    <w:p>
      <w:pPr>
        <w:jc w:val="center"/>
        <w:rPr>
          <w:rFonts w:ascii="仿宋" w:hAnsi="仿宋" w:eastAsia="仿宋" w:cs="仿宋"/>
          <w:sz w:val="24"/>
        </w:rPr>
      </w:pPr>
      <w:r>
        <w:rPr>
          <w:rFonts w:hint="eastAsia" w:ascii="仿宋" w:hAnsi="仿宋" w:eastAsia="仿宋" w:cs="仿宋"/>
          <w:sz w:val="24"/>
        </w:rPr>
        <w:t>2023年4月19日</w:t>
      </w:r>
    </w:p>
    <w:p>
      <w:pPr>
        <w:jc w:val="center"/>
        <w:rPr>
          <w:rFonts w:ascii="仿宋" w:hAnsi="仿宋" w:eastAsia="仿宋" w:cs="仿宋"/>
          <w:sz w:val="24"/>
        </w:rPr>
      </w:pPr>
    </w:p>
    <w:p>
      <w:pPr>
        <w:jc w:val="center"/>
        <w:rPr>
          <w:rFonts w:ascii="仿宋" w:hAnsi="仿宋" w:eastAsia="仿宋" w:cs="仿宋"/>
          <w:sz w:val="24"/>
        </w:rPr>
      </w:pPr>
    </w:p>
    <w:p>
      <w:pPr>
        <w:jc w:val="center"/>
        <w:rPr>
          <w:rFonts w:ascii="仿宋" w:hAnsi="仿宋" w:eastAsia="仿宋" w:cs="仿宋"/>
          <w:sz w:val="24"/>
        </w:rPr>
      </w:pPr>
    </w:p>
    <w:p>
      <w:pPr>
        <w:pStyle w:val="2"/>
        <w:adjustRightInd w:val="0"/>
        <w:snapToGrid w:val="0"/>
        <w:spacing w:line="560" w:lineRule="exact"/>
        <w:jc w:val="center"/>
        <w:rPr>
          <w:rFonts w:ascii="仿宋" w:hAnsi="仿宋" w:eastAsia="仿宋" w:cs="仿宋"/>
          <w:sz w:val="24"/>
        </w:rPr>
      </w:pPr>
      <w:r>
        <w:rPr>
          <w:rFonts w:hint="eastAsia" w:ascii="仿宋" w:hAnsi="仿宋" w:eastAsia="仿宋" w:cs="仿宋"/>
          <w:sz w:val="24"/>
        </w:rPr>
        <w:t>§1  重要提示</w:t>
      </w:r>
    </w:p>
    <w:tbl>
      <w:tblPr>
        <w:tblStyle w:val="10"/>
        <w:tblW w:w="9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141" w:hRule="atLeast"/>
        </w:trPr>
        <w:tc>
          <w:tcPr>
            <w:tcW w:w="9120" w:type="dxa"/>
            <w:tcBorders>
              <w:top w:val="single" w:color="auto" w:sz="4" w:space="0"/>
              <w:left w:val="single" w:color="auto" w:sz="4" w:space="0"/>
              <w:bottom w:val="single" w:color="auto" w:sz="4" w:space="0"/>
              <w:right w:val="single" w:color="auto" w:sz="4" w:space="0"/>
            </w:tcBorders>
          </w:tcPr>
          <w:p>
            <w:pPr>
              <w:widowControl/>
              <w:adjustRightInd w:val="0"/>
              <w:snapToGrid w:val="0"/>
              <w:spacing w:line="420" w:lineRule="exact"/>
              <w:ind w:firstLine="480" w:firstLineChars="200"/>
              <w:jc w:val="left"/>
              <w:rPr>
                <w:rFonts w:ascii="仿宋" w:hAnsi="仿宋" w:eastAsia="仿宋" w:cs="仿宋"/>
                <w:color w:val="404040"/>
                <w:kern w:val="0"/>
                <w:sz w:val="24"/>
              </w:rPr>
            </w:pPr>
            <w:r>
              <w:rPr>
                <w:rFonts w:hint="eastAsia" w:ascii="仿宋" w:hAnsi="仿宋" w:eastAsia="仿宋" w:cs="仿宋"/>
                <w:color w:val="404040"/>
                <w:kern w:val="0"/>
                <w:sz w:val="24"/>
              </w:rPr>
              <w:t>产品管理人承诺以诚实信用、勤勉尽责的原则管理和运用产品资产，并如实反映产品财务指标及投资组合情况，但不保证产品一定盈利。</w:t>
            </w:r>
          </w:p>
          <w:p>
            <w:pPr>
              <w:widowControl/>
              <w:adjustRightInd w:val="0"/>
              <w:snapToGrid w:val="0"/>
              <w:spacing w:line="420" w:lineRule="exact"/>
              <w:ind w:firstLine="480" w:firstLineChars="200"/>
              <w:jc w:val="left"/>
              <w:rPr>
                <w:rFonts w:ascii="仿宋" w:hAnsi="仿宋" w:eastAsia="仿宋" w:cs="仿宋"/>
                <w:color w:val="404040"/>
                <w:kern w:val="0"/>
                <w:sz w:val="24"/>
              </w:rPr>
            </w:pPr>
            <w:r>
              <w:rPr>
                <w:rFonts w:hint="eastAsia" w:ascii="仿宋" w:hAnsi="仿宋" w:eastAsia="仿宋" w:cs="仿宋"/>
                <w:color w:val="404040"/>
                <w:kern w:val="0"/>
                <w:sz w:val="24"/>
              </w:rPr>
              <w:t>产品托管人根据本</w:t>
            </w:r>
            <w:r>
              <w:rPr>
                <w:rFonts w:hint="eastAsia" w:ascii="仿宋" w:hAnsi="仿宋" w:eastAsia="仿宋" w:cs="仿宋"/>
                <w:color w:val="000000"/>
                <w:sz w:val="24"/>
              </w:rPr>
              <w:t>产品</w:t>
            </w:r>
            <w:r>
              <w:rPr>
                <w:rFonts w:hint="eastAsia" w:ascii="仿宋" w:hAnsi="仿宋" w:eastAsia="仿宋" w:cs="仿宋"/>
                <w:color w:val="404040"/>
                <w:kern w:val="0"/>
                <w:sz w:val="24"/>
              </w:rPr>
              <w:t>合同规定，于</w:t>
            </w:r>
            <w:r>
              <w:rPr>
                <w:rFonts w:ascii="仿宋" w:hAnsi="仿宋" w:eastAsia="仿宋" w:cs="仿宋"/>
                <w:color w:val="404040"/>
                <w:sz w:val="24"/>
              </w:rPr>
              <w:t>2023年3月31日</w:t>
            </w:r>
            <w:r>
              <w:rPr>
                <w:rFonts w:hint="eastAsia" w:ascii="仿宋" w:hAnsi="仿宋" w:eastAsia="仿宋" w:cs="仿宋"/>
                <w:color w:val="404040"/>
                <w:kern w:val="0"/>
                <w:sz w:val="24"/>
              </w:rPr>
              <w:t>复核了本报告中的财务指标、净值表现和投资组合报告等内容，保证复核内容不存在虚假记载、误导性陈述或者重大遗漏。</w:t>
            </w:r>
          </w:p>
          <w:p>
            <w:pPr>
              <w:widowControl/>
              <w:adjustRightInd w:val="0"/>
              <w:snapToGrid w:val="0"/>
              <w:spacing w:line="420" w:lineRule="exact"/>
              <w:ind w:firstLine="480" w:firstLineChars="200"/>
              <w:jc w:val="left"/>
              <w:rPr>
                <w:rFonts w:ascii="仿宋" w:hAnsi="仿宋" w:eastAsia="仿宋" w:cs="仿宋"/>
                <w:color w:val="404040"/>
                <w:kern w:val="0"/>
                <w:sz w:val="24"/>
              </w:rPr>
            </w:pPr>
            <w:r>
              <w:rPr>
                <w:rFonts w:hint="eastAsia" w:ascii="仿宋" w:hAnsi="仿宋" w:eastAsia="仿宋" w:cs="仿宋"/>
                <w:color w:val="404040"/>
                <w:kern w:val="0"/>
                <w:sz w:val="24"/>
              </w:rPr>
              <w:t>产品的过往业绩并不代表其未来表现。投资有风险，投资者在作出投资决策前应仔细阅读本</w:t>
            </w:r>
            <w:r>
              <w:rPr>
                <w:rFonts w:hint="eastAsia" w:ascii="仿宋" w:hAnsi="仿宋" w:eastAsia="仿宋" w:cs="仿宋"/>
                <w:color w:val="000000"/>
                <w:sz w:val="24"/>
              </w:rPr>
              <w:t>产品</w:t>
            </w:r>
            <w:r>
              <w:rPr>
                <w:rFonts w:hint="eastAsia" w:ascii="仿宋" w:hAnsi="仿宋" w:eastAsia="仿宋" w:cs="仿宋"/>
                <w:color w:val="404040"/>
                <w:kern w:val="0"/>
                <w:sz w:val="24"/>
              </w:rPr>
              <w:t>的产品说明书。</w:t>
            </w:r>
          </w:p>
          <w:p>
            <w:pPr>
              <w:widowControl/>
              <w:adjustRightInd w:val="0"/>
              <w:snapToGrid w:val="0"/>
              <w:spacing w:line="420" w:lineRule="exact"/>
              <w:ind w:firstLine="480" w:firstLineChars="200"/>
              <w:jc w:val="left"/>
              <w:rPr>
                <w:rFonts w:ascii="仿宋" w:hAnsi="仿宋" w:eastAsia="仿宋" w:cs="仿宋"/>
                <w:color w:val="404040"/>
                <w:kern w:val="0"/>
                <w:sz w:val="24"/>
              </w:rPr>
            </w:pPr>
            <w:r>
              <w:rPr>
                <w:rFonts w:hint="eastAsia" w:ascii="仿宋" w:hAnsi="仿宋" w:eastAsia="仿宋" w:cs="仿宋"/>
                <w:color w:val="404040"/>
                <w:kern w:val="0"/>
                <w:sz w:val="24"/>
              </w:rPr>
              <w:t>本报告中财务资料未经审计。</w:t>
            </w:r>
          </w:p>
          <w:p>
            <w:pPr>
              <w:widowControl/>
              <w:adjustRightInd w:val="0"/>
              <w:snapToGrid w:val="0"/>
              <w:spacing w:line="420" w:lineRule="exact"/>
              <w:ind w:firstLine="480" w:firstLineChars="200"/>
              <w:jc w:val="left"/>
              <w:rPr>
                <w:rFonts w:ascii="仿宋" w:hAnsi="仿宋" w:eastAsia="仿宋" w:cs="仿宋"/>
                <w:sz w:val="24"/>
              </w:rPr>
            </w:pPr>
            <w:r>
              <w:rPr>
                <w:rFonts w:hint="eastAsia" w:ascii="仿宋" w:hAnsi="仿宋" w:eastAsia="仿宋" w:cs="仿宋"/>
                <w:color w:val="404040"/>
                <w:kern w:val="0"/>
                <w:sz w:val="24"/>
              </w:rPr>
              <w:t>本报告期自</w:t>
            </w:r>
            <w:r>
              <w:rPr>
                <w:rFonts w:ascii="仿宋" w:hAnsi="仿宋" w:eastAsia="仿宋" w:cs="仿宋"/>
                <w:color w:val="404040"/>
                <w:sz w:val="24"/>
              </w:rPr>
              <w:t>2023年1月1日</w:t>
            </w:r>
            <w:r>
              <w:rPr>
                <w:rFonts w:hint="eastAsia" w:ascii="仿宋" w:hAnsi="仿宋" w:eastAsia="仿宋" w:cs="仿宋"/>
                <w:color w:val="404040"/>
                <w:kern w:val="0"/>
                <w:sz w:val="24"/>
              </w:rPr>
              <w:t>起至</w:t>
            </w:r>
            <w:r>
              <w:rPr>
                <w:rFonts w:ascii="仿宋" w:hAnsi="仿宋" w:eastAsia="仿宋" w:cs="仿宋"/>
                <w:color w:val="404040"/>
                <w:sz w:val="24"/>
              </w:rPr>
              <w:t>2023年3月31日</w:t>
            </w:r>
            <w:r>
              <w:rPr>
                <w:rFonts w:hint="eastAsia" w:ascii="仿宋" w:hAnsi="仿宋" w:eastAsia="仿宋" w:cs="仿宋"/>
                <w:color w:val="404040"/>
                <w:kern w:val="0"/>
                <w:sz w:val="24"/>
              </w:rPr>
              <w:t>止。</w:t>
            </w:r>
          </w:p>
        </w:tc>
      </w:tr>
    </w:tbl>
    <w:p>
      <w:pPr>
        <w:rPr>
          <w:rStyle w:val="14"/>
          <w:rFonts w:ascii="仿宋" w:hAnsi="仿宋" w:eastAsia="仿宋" w:cs="仿宋"/>
          <w:color w:val="0000FF"/>
          <w:sz w:val="24"/>
        </w:rPr>
      </w:pPr>
    </w:p>
    <w:p>
      <w:pPr>
        <w:pStyle w:val="2"/>
        <w:adjustRightInd w:val="0"/>
        <w:snapToGrid w:val="0"/>
        <w:spacing w:line="560" w:lineRule="exact"/>
        <w:jc w:val="center"/>
        <w:rPr>
          <w:rFonts w:ascii="仿宋" w:hAnsi="仿宋" w:eastAsia="仿宋" w:cs="仿宋"/>
          <w:sz w:val="24"/>
        </w:rPr>
      </w:pPr>
      <w:r>
        <w:rPr>
          <w:rFonts w:hint="eastAsia" w:ascii="仿宋" w:hAnsi="仿宋" w:eastAsia="仿宋" w:cs="仿宋"/>
          <w:sz w:val="24"/>
        </w:rPr>
        <w:t>§2  产品概况</w:t>
      </w:r>
    </w:p>
    <w:p>
      <w:pPr>
        <w:adjustRightInd w:val="0"/>
        <w:snapToGrid w:val="0"/>
        <w:spacing w:line="440" w:lineRule="exact"/>
        <w:outlineLvl w:val="2"/>
        <w:rPr>
          <w:rFonts w:ascii="仿宋" w:hAnsi="仿宋" w:eastAsia="仿宋" w:cs="仿宋"/>
          <w:b/>
          <w:sz w:val="24"/>
        </w:rPr>
      </w:pPr>
      <w:bookmarkStart w:id="0" w:name="_Toc354129567"/>
      <w:r>
        <w:rPr>
          <w:rFonts w:hint="eastAsia" w:ascii="仿宋" w:hAnsi="仿宋" w:eastAsia="仿宋" w:cs="仿宋"/>
          <w:b/>
          <w:sz w:val="24"/>
        </w:rPr>
        <w:t>2.1 产品基本情况</w:t>
      </w:r>
      <w:bookmarkEnd w:id="0"/>
    </w:p>
    <w:tbl>
      <w:tblPr>
        <w:tblStyle w:val="10"/>
        <w:tblW w:w="91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5"/>
        <w:gridCol w:w="5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产品名称</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年添益2005期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产品代码</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TYG13M2005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理财信息登记系统登记编码</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Z7002220000018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sz w:val="24"/>
              </w:rPr>
            </w:pPr>
            <w:r>
              <w:rPr>
                <w:rFonts w:hint="eastAsia" w:ascii="仿宋" w:hAnsi="仿宋" w:eastAsia="仿宋" w:cs="仿宋"/>
                <w:kern w:val="0"/>
                <w:sz w:val="24"/>
              </w:rPr>
              <w:t>产品成立日</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2020年10月28日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产品到期日</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产品募集方式</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产品运作模式</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产品投资性质</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业绩比较基准（%）</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sz w:val="24"/>
              </w:rPr>
            </w:pPr>
            <w:r>
              <w:rPr>
                <w:rFonts w:hint="eastAsia" w:ascii="仿宋" w:hAnsi="仿宋" w:eastAsia="仿宋" w:cs="仿宋"/>
                <w:kern w:val="0"/>
                <w:sz w:val="24"/>
              </w:rPr>
              <w:t>报告期末产品规模（元）</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582,911,874.04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sz w:val="24"/>
              </w:rPr>
            </w:pPr>
            <w:r>
              <w:rPr>
                <w:rFonts w:hint="eastAsia" w:ascii="仿宋" w:hAnsi="仿宋" w:eastAsia="仿宋" w:cs="仿宋"/>
                <w:kern w:val="0"/>
                <w:sz w:val="24"/>
              </w:rPr>
              <w:t>杠杆水平（%）</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116.10%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风险等级</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sz w:val="24"/>
              </w:rPr>
            </w:pPr>
            <w:r>
              <w:rPr>
                <w:rFonts w:hint="eastAsia" w:ascii="仿宋" w:hAnsi="仿宋" w:eastAsia="仿宋" w:cs="仿宋"/>
                <w:kern w:val="0"/>
                <w:sz w:val="24"/>
              </w:rPr>
              <w:t>产品管理人</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杭银理财有限责任公司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sz w:val="24"/>
              </w:rPr>
            </w:pPr>
            <w:r>
              <w:rPr>
                <w:rFonts w:hint="eastAsia" w:ascii="仿宋" w:hAnsi="仿宋" w:eastAsia="仿宋" w:cs="仿宋"/>
                <w:kern w:val="0"/>
                <w:sz w:val="24"/>
              </w:rPr>
              <w:t>产品托管人</w:t>
            </w:r>
          </w:p>
        </w:tc>
        <w:tc>
          <w:tcPr>
            <w:tcW w:w="57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仿宋" w:hAnsi="仿宋" w:eastAsia="仿宋" w:cs="仿宋"/>
                <w:kern w:val="0"/>
                <w:sz w:val="24"/>
              </w:rPr>
            </w:pPr>
            <w:r>
              <w:rPr>
                <w:rFonts w:hint="eastAsia" w:ascii="仿宋" w:hAnsi="仿宋" w:eastAsia="仿宋" w:cs="仿宋"/>
                <w:kern w:val="0"/>
                <w:sz w:val="24"/>
              </w:rPr>
              <w:t>杭州银行股份有限公司</w:t>
            </w:r>
          </w:p>
        </w:tc>
      </w:tr>
    </w:tbl>
    <w:p>
      <w:pPr>
        <w:adjustRightInd w:val="0"/>
        <w:snapToGrid w:val="0"/>
        <w:spacing w:line="360" w:lineRule="exact"/>
        <w:rPr>
          <w:rFonts w:ascii="仿宋" w:hAnsi="仿宋" w:eastAsia="仿宋" w:cs="仿宋"/>
          <w:sz w:val="24"/>
        </w:rPr>
      </w:pPr>
      <w:r>
        <w:rPr>
          <w:rFonts w:hint="eastAsia" w:ascii="仿宋" w:hAnsi="仿宋" w:eastAsia="仿宋" w:cs="仿宋"/>
          <w:sz w:val="24"/>
        </w:rPr>
        <w:t>*杠杆水平=总资产/理财产品净资产，理财产品净资产=总资产-总负债</w:t>
      </w:r>
    </w:p>
    <w:p>
      <w:pPr>
        <w:adjustRightInd w:val="0"/>
        <w:snapToGrid w:val="0"/>
        <w:spacing w:line="360" w:lineRule="exact"/>
        <w:rPr>
          <w:rFonts w:ascii="仿宋" w:hAnsi="仿宋" w:eastAsia="仿宋" w:cs="仿宋"/>
          <w:color w:val="000000"/>
          <w:sz w:val="24"/>
        </w:rPr>
      </w:pPr>
    </w:p>
    <w:p>
      <w:pPr>
        <w:pStyle w:val="2"/>
        <w:adjustRightInd w:val="0"/>
        <w:snapToGrid w:val="0"/>
        <w:spacing w:line="560" w:lineRule="exact"/>
        <w:jc w:val="center"/>
        <w:rPr>
          <w:rFonts w:ascii="仿宋" w:hAnsi="仿宋" w:eastAsia="仿宋" w:cs="仿宋"/>
          <w:sz w:val="24"/>
        </w:rPr>
      </w:pPr>
      <w:r>
        <w:rPr>
          <w:rFonts w:hint="eastAsia" w:ascii="仿宋" w:hAnsi="仿宋" w:eastAsia="仿宋" w:cs="仿宋"/>
          <w:sz w:val="24"/>
        </w:rPr>
        <w:t>§3  主要财务指标和产品净值表现</w:t>
      </w:r>
    </w:p>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3.1 主要财务指标和产品净值表现</w:t>
      </w:r>
    </w:p>
    <w:p>
      <w:pPr>
        <w:adjustRightInd w:val="0"/>
        <w:snapToGrid w:val="0"/>
        <w:spacing w:line="440" w:lineRule="exact"/>
        <w:jc w:val="right"/>
        <w:rPr>
          <w:rFonts w:ascii="仿宋" w:hAnsi="仿宋" w:eastAsia="仿宋" w:cs="仿宋"/>
          <w:sz w:val="24"/>
        </w:rPr>
      </w:pPr>
      <w:r>
        <w:rPr>
          <w:rFonts w:hint="eastAsia" w:ascii="仿宋" w:hAnsi="仿宋" w:eastAsia="仿宋" w:cs="仿宋"/>
          <w:sz w:val="24"/>
        </w:rPr>
        <w:t>单位：元、份、元/份</w:t>
      </w:r>
    </w:p>
    <w:tbl>
      <w:tblPr>
        <w:tblStyle w:val="10"/>
        <w:tblW w:w="9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418"/>
        <w:gridCol w:w="585"/>
        <w:gridCol w:w="407"/>
        <w:gridCol w:w="992"/>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08"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color w:val="000000"/>
                <w:kern w:val="0"/>
                <w:sz w:val="24"/>
              </w:rPr>
            </w:pPr>
            <w:r>
              <w:rPr>
                <w:rFonts w:hint="eastAsia" w:ascii="仿宋" w:hAnsi="仿宋" w:eastAsia="仿宋" w:cs="仿宋"/>
                <w:sz w:val="24"/>
              </w:rPr>
              <w:t>主要财务指标</w:t>
            </w:r>
          </w:p>
        </w:tc>
        <w:tc>
          <w:tcPr>
            <w:tcW w:w="472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color w:val="000000"/>
                <w:kern w:val="0"/>
                <w:sz w:val="24"/>
              </w:rPr>
            </w:pPr>
            <w:r>
              <w:rPr>
                <w:rFonts w:hint="eastAsia" w:ascii="仿宋" w:hAnsi="仿宋" w:eastAsia="仿宋" w:cs="仿宋"/>
                <w:color w:val="000000"/>
                <w:kern w:val="0"/>
                <w:sz w:val="24"/>
              </w:rPr>
              <w:t>报告期</w:t>
            </w:r>
          </w:p>
          <w:p>
            <w:pPr>
              <w:widowControl/>
              <w:adjustRightInd w:val="0"/>
              <w:snapToGrid w:val="0"/>
              <w:jc w:val="center"/>
              <w:rPr>
                <w:rFonts w:ascii="仿宋" w:hAnsi="仿宋" w:eastAsia="仿宋" w:cs="仿宋"/>
                <w:color w:val="000000"/>
                <w:kern w:val="0"/>
                <w:sz w:val="24"/>
              </w:rPr>
            </w:pPr>
            <w:r>
              <w:rPr>
                <w:rFonts w:hint="eastAsia" w:ascii="仿宋" w:hAnsi="仿宋" w:eastAsia="仿宋" w:cs="仿宋"/>
                <w:color w:val="000000"/>
                <w:kern w:val="0"/>
                <w:sz w:val="24"/>
              </w:rPr>
              <w:t>（</w:t>
            </w:r>
            <w:r>
              <w:rPr>
                <w:rFonts w:ascii="仿宋" w:hAnsi="仿宋" w:eastAsia="仿宋" w:cs="仿宋"/>
                <w:color w:val="000000"/>
                <w:sz w:val="24"/>
              </w:rPr>
              <w:t>2023年1月1日</w:t>
            </w:r>
            <w:r>
              <w:rPr>
                <w:rFonts w:hint="eastAsia" w:ascii="仿宋" w:hAnsi="仿宋" w:eastAsia="仿宋" w:cs="仿宋"/>
                <w:color w:val="000000"/>
                <w:kern w:val="0"/>
                <w:sz w:val="24"/>
              </w:rPr>
              <w:t>-</w:t>
            </w:r>
            <w:r>
              <w:rPr>
                <w:rFonts w:ascii="仿宋" w:hAnsi="仿宋" w:eastAsia="仿宋" w:cs="仿宋"/>
                <w:color w:val="000000"/>
                <w:sz w:val="24"/>
              </w:rPr>
              <w:t>2023年3月31日</w:t>
            </w:r>
            <w:r>
              <w:rPr>
                <w:rFonts w:hint="eastAsia" w:ascii="仿宋" w:hAnsi="仿宋" w:eastAsia="仿宋" w:cs="仿宋"/>
                <w:color w:val="000000"/>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08"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Style w:val="14"/>
                <w:rFonts w:ascii="仿宋" w:hAnsi="仿宋" w:eastAsia="仿宋" w:cs="仿宋"/>
                <w:sz w:val="24"/>
              </w:rPr>
            </w:pPr>
            <w:r>
              <w:rPr>
                <w:rFonts w:hint="eastAsia" w:ascii="仿宋" w:hAnsi="仿宋" w:eastAsia="仿宋" w:cs="仿宋"/>
                <w:sz w:val="24"/>
              </w:rPr>
              <w:t>1.期末产品资产净值</w:t>
            </w:r>
          </w:p>
        </w:tc>
        <w:tc>
          <w:tcPr>
            <w:tcW w:w="472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right"/>
              <w:rPr>
                <w:rFonts w:ascii="仿宋" w:hAnsi="仿宋" w:eastAsia="仿宋" w:cs="仿宋"/>
                <w:sz w:val="24"/>
              </w:rPr>
            </w:pPr>
            <w:r>
              <w:rPr>
                <w:rFonts w:hint="eastAsia" w:ascii="仿宋" w:hAnsi="仿宋" w:eastAsia="仿宋" w:cs="仿宋"/>
                <w:kern w:val="0"/>
                <w:sz w:val="24"/>
              </w:rPr>
              <w:t>582,911,874.04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08"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仿宋" w:hAnsi="仿宋" w:eastAsia="仿宋" w:cs="仿宋"/>
                <w:sz w:val="24"/>
              </w:rPr>
            </w:pPr>
            <w:r>
              <w:rPr>
                <w:rFonts w:hint="eastAsia" w:ascii="仿宋" w:hAnsi="仿宋" w:eastAsia="仿宋" w:cs="仿宋"/>
                <w:sz w:val="24"/>
              </w:rPr>
              <w:t>2.期末产品总份额</w:t>
            </w:r>
          </w:p>
        </w:tc>
        <w:tc>
          <w:tcPr>
            <w:tcW w:w="472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right"/>
              <w:rPr>
                <w:rFonts w:ascii="仿宋" w:hAnsi="仿宋" w:eastAsia="仿宋" w:cs="仿宋"/>
                <w:kern w:val="0"/>
                <w:sz w:val="24"/>
              </w:rPr>
            </w:pPr>
            <w:r>
              <w:rPr>
                <w:rFonts w:hint="eastAsia" w:ascii="仿宋" w:hAnsi="仿宋" w:eastAsia="仿宋" w:cs="仿宋"/>
                <w:kern w:val="0"/>
                <w:sz w:val="24"/>
              </w:rPr>
              <w:t>524,062,761.01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08"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Style w:val="14"/>
                <w:rFonts w:ascii="仿宋" w:hAnsi="仿宋" w:eastAsia="仿宋" w:cs="仿宋"/>
                <w:sz w:val="24"/>
              </w:rPr>
            </w:pPr>
            <w:r>
              <w:rPr>
                <w:rFonts w:hint="eastAsia" w:ascii="仿宋" w:hAnsi="仿宋" w:eastAsia="仿宋" w:cs="仿宋"/>
                <w:sz w:val="24"/>
              </w:rPr>
              <w:t>3.期末产品份额单位净值</w:t>
            </w:r>
          </w:p>
        </w:tc>
        <w:tc>
          <w:tcPr>
            <w:tcW w:w="472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right"/>
              <w:rPr>
                <w:rFonts w:ascii="仿宋" w:hAnsi="仿宋" w:eastAsia="仿宋" w:cs="仿宋"/>
                <w:sz w:val="24"/>
              </w:rPr>
            </w:pPr>
            <w:r>
              <w:rPr>
                <w:rFonts w:hint="eastAsia" w:ascii="仿宋" w:hAnsi="仿宋" w:eastAsia="仿宋" w:cs="仿宋"/>
                <w:kern w:val="0"/>
                <w:sz w:val="24"/>
              </w:rPr>
              <w:t>1.1122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4408"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Style w:val="14"/>
                <w:rFonts w:ascii="仿宋" w:hAnsi="仿宋" w:eastAsia="仿宋" w:cs="仿宋"/>
                <w:sz w:val="24"/>
              </w:rPr>
            </w:pPr>
            <w:r>
              <w:rPr>
                <w:rFonts w:hint="eastAsia" w:ascii="仿宋" w:hAnsi="仿宋" w:eastAsia="仿宋" w:cs="仿宋"/>
                <w:sz w:val="24"/>
              </w:rPr>
              <w:t>4.期末产品份额累计净值</w:t>
            </w:r>
          </w:p>
        </w:tc>
        <w:tc>
          <w:tcPr>
            <w:tcW w:w="472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right"/>
              <w:rPr>
                <w:rFonts w:ascii="仿宋" w:hAnsi="仿宋" w:eastAsia="仿宋" w:cs="仿宋"/>
                <w:sz w:val="24"/>
              </w:rPr>
            </w:pPr>
            <w:r>
              <w:rPr>
                <w:rFonts w:hint="eastAsia" w:ascii="仿宋" w:hAnsi="仿宋" w:eastAsia="仿宋" w:cs="仿宋"/>
                <w:kern w:val="0"/>
                <w:sz w:val="24"/>
              </w:rPr>
              <w:t>1.1122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128" w:type="dxa"/>
            <w:gridSpan w:val="6"/>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color w:val="0000FF"/>
                <w:sz w:val="24"/>
              </w:rPr>
            </w:pPr>
            <w:r>
              <w:rPr>
                <w:rFonts w:hint="eastAsia" w:ascii="仿宋" w:hAnsi="仿宋" w:eastAsia="仿宋" w:cs="仿宋"/>
                <w:kern w:val="0"/>
                <w:sz w:val="24"/>
              </w:rPr>
              <w:t>报告期末下属子产品相关信息披露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405"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子产品名称</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子产品代码</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份额</w:t>
            </w:r>
          </w:p>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净值</w:t>
            </w:r>
          </w:p>
        </w:tc>
        <w:tc>
          <w:tcPr>
            <w:tcW w:w="99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份额累计净值</w:t>
            </w:r>
          </w:p>
        </w:tc>
        <w:tc>
          <w:tcPr>
            <w:tcW w:w="332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kern w:val="0"/>
                <w:sz w:val="24"/>
              </w:rPr>
            </w:pPr>
            <w:r>
              <w:rPr>
                <w:rFonts w:hint="eastAsia" w:ascii="仿宋" w:hAnsi="仿宋" w:eastAsia="仿宋" w:cs="仿宋"/>
                <w:kern w:val="0"/>
                <w:sz w:val="24"/>
              </w:rPr>
              <w:t>资产净值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405"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年添益2005期</w:t>
            </w:r>
          </w:p>
        </w:tc>
        <w:tc>
          <w:tcPr>
            <w:tcW w:w="1418"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TYG13M2005</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1.1122</w:t>
            </w:r>
          </w:p>
        </w:tc>
        <w:tc>
          <w:tcPr>
            <w:tcW w:w="992"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1.1122</w:t>
            </w:r>
          </w:p>
        </w:tc>
        <w:tc>
          <w:tcPr>
            <w:tcW w:w="3321"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560,195,141.38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405"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年添益2005期B款</w:t>
            </w:r>
          </w:p>
        </w:tc>
        <w:tc>
          <w:tcPr>
            <w:tcW w:w="1418"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TYG13M2005B</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1.1127</w:t>
            </w:r>
          </w:p>
        </w:tc>
        <w:tc>
          <w:tcPr>
            <w:tcW w:w="992"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1.1127</w:t>
            </w:r>
          </w:p>
        </w:tc>
        <w:tc>
          <w:tcPr>
            <w:tcW w:w="3321"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20,445,825.23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405"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年添益2005期D款</w:t>
            </w:r>
          </w:p>
        </w:tc>
        <w:tc>
          <w:tcPr>
            <w:tcW w:w="1418"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TYG13M2005D</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1.1128</w:t>
            </w:r>
          </w:p>
        </w:tc>
        <w:tc>
          <w:tcPr>
            <w:tcW w:w="992"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1.1128</w:t>
            </w:r>
          </w:p>
        </w:tc>
        <w:tc>
          <w:tcPr>
            <w:tcW w:w="3321"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665,543.56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405"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年添益2005期E款</w:t>
            </w:r>
          </w:p>
        </w:tc>
        <w:tc>
          <w:tcPr>
            <w:tcW w:w="1418"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TYG13M2005E</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1.1131</w:t>
            </w:r>
          </w:p>
        </w:tc>
        <w:tc>
          <w:tcPr>
            <w:tcW w:w="992"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1.1131</w:t>
            </w:r>
          </w:p>
        </w:tc>
        <w:tc>
          <w:tcPr>
            <w:tcW w:w="3321" w:type="dxa"/>
            <w:tcBorders>
              <w:top w:val="single" w:color="auto" w:sz="4" w:space="0"/>
              <w:left w:val="single" w:color="auto" w:sz="4" w:space="0"/>
              <w:bottom w:val="single" w:color="auto" w:sz="4" w:space="0"/>
              <w:right w:val="single" w:color="auto" w:sz="4" w:space="0"/>
            </w:tcBorders>
            <w:vAlign w:val="center"/>
          </w:tcPr>
          <w:p>
            <w:pPr>
              <w:pStyle w:val="8"/>
              <w:adjustRightInd w:val="0"/>
              <w:snapToGrid w:val="0"/>
              <w:spacing w:before="0" w:beforeAutospacing="0" w:after="0" w:afterAutospacing="0"/>
              <w:jc w:val="center"/>
              <w:rPr>
                <w:rFonts w:ascii="仿宋" w:hAnsi="仿宋" w:eastAsia="仿宋" w:cs="仿宋"/>
                <w:color w:val="000000"/>
                <w:szCs w:val="24"/>
              </w:rPr>
            </w:pPr>
            <w:r>
              <w:rPr>
                <w:rFonts w:hint="eastAsia" w:ascii="仿宋" w:hAnsi="仿宋" w:eastAsia="仿宋" w:cs="仿宋"/>
                <w:color w:val="000000"/>
                <w:szCs w:val="24"/>
              </w:rPr>
              <w:t>1,605,363.87</w:t>
            </w:r>
          </w:p>
        </w:tc>
      </w:tr>
    </w:tbl>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3.</w:t>
      </w:r>
      <w:r>
        <w:rPr>
          <w:rFonts w:ascii="仿宋" w:hAnsi="仿宋" w:eastAsia="仿宋" w:cs="仿宋"/>
          <w:b/>
          <w:sz w:val="24"/>
        </w:rPr>
        <w:t>2</w:t>
      </w:r>
      <w:r>
        <w:rPr>
          <w:rFonts w:hint="eastAsia" w:ascii="仿宋" w:hAnsi="仿宋" w:eastAsia="仿宋" w:cs="仿宋"/>
          <w:b/>
          <w:sz w:val="24"/>
        </w:rPr>
        <w:t xml:space="preserve"> 产品收益表现</w:t>
      </w:r>
    </w:p>
    <w:tbl>
      <w:tblPr>
        <w:tblStyle w:val="10"/>
        <w:tblW w:w="9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7"/>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80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color w:val="000000"/>
                <w:kern w:val="0"/>
                <w:sz w:val="24"/>
              </w:rPr>
            </w:pPr>
            <w:r>
              <w:rPr>
                <w:rFonts w:hint="eastAsia" w:ascii="仿宋" w:hAnsi="仿宋" w:eastAsia="仿宋" w:cs="仿宋"/>
                <w:color w:val="000000"/>
                <w:kern w:val="0"/>
                <w:sz w:val="24"/>
              </w:rPr>
              <w:t>产品名称</w:t>
            </w:r>
          </w:p>
        </w:tc>
        <w:tc>
          <w:tcPr>
            <w:tcW w:w="332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color w:val="000000"/>
                <w:kern w:val="0"/>
                <w:sz w:val="24"/>
              </w:rPr>
            </w:pPr>
            <w:r>
              <w:rPr>
                <w:rFonts w:hint="eastAsia" w:ascii="仿宋" w:hAnsi="仿宋" w:eastAsia="仿宋" w:cs="仿宋"/>
                <w:color w:val="000000"/>
                <w:kern w:val="0"/>
                <w:sz w:val="24"/>
              </w:rPr>
              <w:t>成立以来年化收益率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80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Style w:val="14"/>
                <w:rFonts w:ascii="仿宋" w:hAnsi="仿宋" w:eastAsia="仿宋" w:cs="仿宋"/>
                <w:sz w:val="24"/>
              </w:rPr>
            </w:pPr>
            <w:r>
              <w:rPr>
                <w:rStyle w:val="14"/>
                <w:rFonts w:hint="eastAsia" w:ascii="仿宋" w:hAnsi="仿宋" w:eastAsia="仿宋" w:cs="仿宋"/>
                <w:sz w:val="24"/>
              </w:rPr>
              <w:t>年添益2005期</w:t>
            </w:r>
          </w:p>
        </w:tc>
        <w:tc>
          <w:tcPr>
            <w:tcW w:w="332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sz w:val="24"/>
              </w:rPr>
            </w:pPr>
            <w:r>
              <w:rPr>
                <w:rFonts w:hint="eastAsia" w:ascii="仿宋" w:hAnsi="仿宋" w:eastAsia="仿宋" w:cs="仿宋"/>
                <w:sz w:val="24"/>
              </w:rPr>
              <w:t>4.63</w:t>
            </w:r>
            <w:r>
              <w:rPr>
                <w:rFonts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80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Style w:val="14"/>
                <w:rFonts w:ascii="仿宋" w:hAnsi="仿宋" w:eastAsia="仿宋" w:cs="仿宋"/>
                <w:sz w:val="24"/>
              </w:rPr>
            </w:pPr>
            <w:r>
              <w:rPr>
                <w:rStyle w:val="14"/>
                <w:rFonts w:hint="eastAsia" w:ascii="仿宋" w:hAnsi="仿宋" w:eastAsia="仿宋" w:cs="仿宋"/>
                <w:sz w:val="24"/>
              </w:rPr>
              <w:t>年添益2005期B款</w:t>
            </w:r>
          </w:p>
        </w:tc>
        <w:tc>
          <w:tcPr>
            <w:tcW w:w="332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sz w:val="24"/>
              </w:rPr>
            </w:pPr>
            <w:r>
              <w:rPr>
                <w:rFonts w:hint="eastAsia" w:ascii="仿宋" w:hAnsi="仿宋" w:eastAsia="仿宋" w:cs="仿宋"/>
                <w:sz w:val="24"/>
              </w:rPr>
              <w:t>4.65</w:t>
            </w:r>
            <w:r>
              <w:rPr>
                <w:rFonts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80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Style w:val="14"/>
                <w:rFonts w:ascii="仿宋" w:hAnsi="仿宋" w:eastAsia="仿宋" w:cs="仿宋"/>
                <w:sz w:val="24"/>
              </w:rPr>
            </w:pPr>
            <w:r>
              <w:rPr>
                <w:rStyle w:val="14"/>
                <w:rFonts w:hint="eastAsia" w:ascii="仿宋" w:hAnsi="仿宋" w:eastAsia="仿宋" w:cs="仿宋"/>
                <w:sz w:val="24"/>
              </w:rPr>
              <w:t>年添益2005期D款</w:t>
            </w:r>
          </w:p>
        </w:tc>
        <w:tc>
          <w:tcPr>
            <w:tcW w:w="332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sz w:val="24"/>
              </w:rPr>
            </w:pPr>
            <w:r>
              <w:rPr>
                <w:rFonts w:hint="eastAsia" w:ascii="仿宋" w:hAnsi="仿宋" w:eastAsia="仿宋" w:cs="仿宋"/>
                <w:sz w:val="24"/>
              </w:rPr>
              <w:t>4.65</w:t>
            </w:r>
            <w:r>
              <w:rPr>
                <w:rFonts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580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Style w:val="14"/>
                <w:rFonts w:ascii="仿宋" w:hAnsi="仿宋" w:eastAsia="仿宋" w:cs="仿宋"/>
                <w:sz w:val="24"/>
              </w:rPr>
            </w:pPr>
            <w:r>
              <w:rPr>
                <w:rStyle w:val="14"/>
                <w:rFonts w:hint="eastAsia" w:ascii="仿宋" w:hAnsi="仿宋" w:eastAsia="仿宋" w:cs="仿宋"/>
                <w:sz w:val="24"/>
              </w:rPr>
              <w:t>年添益2005期E款</w:t>
            </w:r>
          </w:p>
        </w:tc>
        <w:tc>
          <w:tcPr>
            <w:tcW w:w="332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仿宋" w:hAnsi="仿宋" w:eastAsia="仿宋" w:cs="仿宋"/>
                <w:sz w:val="24"/>
              </w:rPr>
            </w:pPr>
            <w:r>
              <w:rPr>
                <w:rFonts w:hint="eastAsia" w:ascii="仿宋" w:hAnsi="仿宋" w:eastAsia="仿宋" w:cs="仿宋"/>
                <w:sz w:val="24"/>
              </w:rPr>
              <w:t>4.66</w:t>
            </w:r>
            <w:r>
              <w:rPr>
                <w:rFonts w:ascii="仿宋" w:hAnsi="仿宋" w:eastAsia="仿宋" w:cs="仿宋"/>
                <w:sz w:val="24"/>
              </w:rPr>
              <w:t>%</w:t>
            </w:r>
          </w:p>
        </w:tc>
      </w:tr>
    </w:tbl>
    <w:p>
      <w:pPr>
        <w:adjustRightInd w:val="0"/>
        <w:snapToGrid w:val="0"/>
        <w:rPr>
          <w:rFonts w:ascii="仿宋" w:hAnsi="仿宋" w:eastAsia="仿宋" w:cs="仿宋"/>
          <w:color w:val="404040"/>
          <w:kern w:val="0"/>
          <w:sz w:val="24"/>
        </w:rPr>
      </w:pPr>
    </w:p>
    <w:p>
      <w:pPr>
        <w:adjustRightInd w:val="0"/>
        <w:snapToGrid w:val="0"/>
        <w:rPr>
          <w:rFonts w:hint="eastAsia" w:ascii="仿宋" w:hAnsi="仿宋" w:eastAsia="仿宋" w:cs="仿宋"/>
          <w:color w:val="404040"/>
          <w:kern w:val="0"/>
          <w:sz w:val="24"/>
        </w:rPr>
      </w:pPr>
    </w:p>
    <w:p>
      <w:pPr>
        <w:pStyle w:val="2"/>
        <w:adjustRightInd w:val="0"/>
        <w:snapToGrid w:val="0"/>
        <w:spacing w:line="560" w:lineRule="exact"/>
        <w:jc w:val="center"/>
        <w:rPr>
          <w:rFonts w:ascii="仿宋" w:hAnsi="仿宋" w:eastAsia="仿宋" w:cs="仿宋"/>
          <w:sz w:val="24"/>
        </w:rPr>
      </w:pPr>
      <w:r>
        <w:rPr>
          <w:rFonts w:hint="eastAsia" w:ascii="仿宋" w:hAnsi="仿宋" w:eastAsia="仿宋" w:cs="仿宋"/>
          <w:sz w:val="24"/>
        </w:rPr>
        <w:t>§4  投资组合报告</w:t>
      </w:r>
    </w:p>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4.1 报告期内产品投资策略回顾</w:t>
      </w:r>
    </w:p>
    <w:p>
      <w:pPr>
        <w:adjustRightInd w:val="0"/>
        <w:snapToGrid w:val="0"/>
        <w:spacing w:line="420" w:lineRule="exact"/>
        <w:ind w:firstLine="480" w:firstLineChars="200"/>
        <w:rPr>
          <w:rFonts w:ascii="仿宋" w:hAnsi="仿宋" w:eastAsia="仿宋" w:cs="仿宋"/>
          <w:sz w:val="24"/>
        </w:rPr>
      </w:pPr>
      <w:r>
        <w:rPr>
          <w:rFonts w:hint="eastAsia" w:ascii="仿宋" w:hAnsi="仿宋" w:eastAsia="仿宋" w:cs="仿宋"/>
          <w:sz w:val="24"/>
        </w:rPr>
        <w:t>2023年1季度以来，利率债收益率震荡，信用债收益率整体下行，债市经历了对经济复苏的强预期到弱预期的修复。春节前，受疫情防控政策和房地产政策调整影响，市场对经济复苏预期强烈，春节后，信贷开门红，但市场对实体经济复苏存在较大分歧，理财赎回风波缓解后，银行理财对信用债配置带动信用债收益率大幅下行。3月后，两会设定的GDP增速目标低于市场预期，出口走弱，叠加3月底央行超预期降准，带动中短期债券收益率下行。从收益率来看，当前10年国债收益率2.87%，较年初小幅上行，当前3年期AA+城投债收益率3.23%，较年初下行40bp，当前3年期AAA二级资本债收益率3.28%，较年初下行8bp。本产品主要配置固收类资产，债券部分以信用债为主，同时为提高产品风险收益比，产品小部分配置权益性资产，受益于一季度信用债收益率大幅下行，权益资产震荡上行，产品净值收益表现较好。</w:t>
      </w:r>
    </w:p>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4.2产品未来展望</w:t>
      </w:r>
    </w:p>
    <w:p>
      <w:pPr>
        <w:adjustRightInd w:val="0"/>
        <w:snapToGrid w:val="0"/>
        <w:spacing w:line="420" w:lineRule="exact"/>
        <w:ind w:firstLine="480" w:firstLineChars="200"/>
        <w:rPr>
          <w:rFonts w:ascii="仿宋" w:hAnsi="仿宋" w:eastAsia="仿宋" w:cs="仿宋"/>
          <w:sz w:val="24"/>
        </w:rPr>
      </w:pPr>
      <w:r>
        <w:rPr>
          <w:rFonts w:hint="eastAsia" w:ascii="仿宋" w:hAnsi="仿宋" w:eastAsia="仿宋" w:cs="仿宋"/>
          <w:sz w:val="24"/>
        </w:rPr>
        <w:t>展望2023年2季度，从基本面来看，无论从经济高频数据还是前瞻性数据来看，经济逐步复苏的态势仍在延续，从票据利率看银行信贷投放依然积极，消费、地产投资增速仍在修复过程中；从政策面来看，3月央行降准显示对银行间资金面市场的呵护，市场利率大概率围绕政策利率波动，短端债券收益率上行的空间有限。整体来说，经济弱复苏延续，货币政策保持相对宽松，债市流动性环境相对友好，后续理财规模增长情况、出口回落速度、货币政策是否会进一步宽松等将是影响2季度债市的重要变量。我们预期2季度债券收益率整体小幅波动。策略上，保持一定杠杆比例，适时把握利率债或者中高等级债券的阶段性交易机会。</w:t>
      </w:r>
    </w:p>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4.3投资组合的流动性风险分析</w:t>
      </w:r>
    </w:p>
    <w:p>
      <w:pPr>
        <w:adjustRightInd w:val="0"/>
        <w:snapToGrid w:val="0"/>
        <w:spacing w:line="420" w:lineRule="exact"/>
        <w:ind w:firstLine="480" w:firstLineChars="200"/>
        <w:rPr>
          <w:rFonts w:ascii="仿宋" w:hAnsi="仿宋" w:eastAsia="仿宋" w:cs="仿宋"/>
          <w:sz w:val="24"/>
        </w:rPr>
      </w:pPr>
      <w:r>
        <w:rPr>
          <w:rFonts w:hint="eastAsia" w:ascii="仿宋" w:hAnsi="仿宋" w:eastAsia="仿宋" w:cs="仿宋"/>
          <w:sz w:val="24"/>
        </w:rPr>
        <w:t>流动性风险是指理财产品无法通过变现资产等途径以合理成本及时获得充足资金，用于满足该理财产品的投资者赎回需求、履行其他支付义务的风险。本产品主要直接或者间接投资于债券类资产及权益类资产。产品所投资的债券资产流动性状况良好，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的匹配。</w:t>
      </w:r>
      <w:r>
        <w:rPr>
          <w:rFonts w:hint="eastAsia" w:ascii="仿宋" w:hAnsi="仿宋" w:eastAsia="仿宋" w:cs="仿宋"/>
          <w:sz w:val="24"/>
        </w:rPr>
        <w:cr/>
      </w:r>
      <w:r>
        <w:rPr>
          <w:rFonts w:hint="eastAsia" w:ascii="仿宋" w:hAnsi="仿宋" w:eastAsia="仿宋" w:cs="仿宋"/>
          <w:sz w:val="24"/>
        </w:rPr>
        <w:t>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4.4 报告期末穿透前投资组合分类</w:t>
      </w:r>
    </w:p>
    <w:tbl>
      <w:tblPr>
        <w:tblStyle w:val="10"/>
        <w:tblW w:w="9019" w:type="dxa"/>
        <w:tblInd w:w="-5" w:type="dxa"/>
        <w:tblLayout w:type="fixed"/>
        <w:tblCellMar>
          <w:top w:w="0" w:type="dxa"/>
          <w:left w:w="0" w:type="dxa"/>
          <w:bottom w:w="0" w:type="dxa"/>
          <w:right w:w="0" w:type="dxa"/>
        </w:tblCellMar>
      </w:tblPr>
      <w:tblGrid>
        <w:gridCol w:w="572"/>
        <w:gridCol w:w="5614"/>
        <w:gridCol w:w="2833"/>
      </w:tblGrid>
      <w:tr>
        <w:tblPrEx>
          <w:tblLayout w:type="fixed"/>
          <w:tblCellMar>
            <w:top w:w="0" w:type="dxa"/>
            <w:left w:w="0" w:type="dxa"/>
            <w:bottom w:w="0" w:type="dxa"/>
            <w:right w:w="0" w:type="dxa"/>
          </w:tblCellMar>
        </w:tblPrEx>
        <w:trPr>
          <w:trHeight w:val="415"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序号</w:t>
            </w:r>
          </w:p>
        </w:tc>
        <w:tc>
          <w:tcPr>
            <w:tcW w:w="5614" w:type="dxa"/>
            <w:tcBorders>
              <w:top w:val="single" w:color="auto" w:sz="4" w:space="0"/>
              <w:left w:val="nil"/>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项目</w:t>
            </w:r>
          </w:p>
        </w:tc>
        <w:tc>
          <w:tcPr>
            <w:tcW w:w="2833" w:type="dxa"/>
            <w:tcBorders>
              <w:top w:val="single" w:color="auto" w:sz="4" w:space="0"/>
              <w:left w:val="nil"/>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期末占总资产比例（％）</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1</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现金及银行存款</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0.04%</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2</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同业存单</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3</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拆放同业及债券买入返售</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1.33%</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4</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债券</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94.73%</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5</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非标准化债权类资产</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6</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权益类投资</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7</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金融衍生品</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8</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代客境外理财投资QDII</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9</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商品类资产</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10</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另类资产</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11</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公募基金</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3.90%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12</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私募基金</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13</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资产管理产品</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14</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委外投资——协议方式</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15</w:t>
            </w:r>
          </w:p>
        </w:tc>
        <w:tc>
          <w:tcPr>
            <w:tcW w:w="56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合计</w:t>
            </w:r>
          </w:p>
        </w:tc>
        <w:tc>
          <w:tcPr>
            <w:tcW w:w="283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100.00%</w:t>
            </w:r>
          </w:p>
        </w:tc>
      </w:tr>
    </w:tbl>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4.5 报告期末穿透后投资组合分类</w:t>
      </w:r>
    </w:p>
    <w:tbl>
      <w:tblPr>
        <w:tblStyle w:val="10"/>
        <w:tblW w:w="9019" w:type="dxa"/>
        <w:tblInd w:w="-5" w:type="dxa"/>
        <w:tblLayout w:type="fixed"/>
        <w:tblCellMar>
          <w:top w:w="0" w:type="dxa"/>
          <w:left w:w="0" w:type="dxa"/>
          <w:bottom w:w="0" w:type="dxa"/>
          <w:right w:w="0" w:type="dxa"/>
        </w:tblCellMar>
      </w:tblPr>
      <w:tblGrid>
        <w:gridCol w:w="572"/>
        <w:gridCol w:w="5647"/>
        <w:gridCol w:w="2800"/>
      </w:tblGrid>
      <w:tr>
        <w:tblPrEx>
          <w:tblLayout w:type="fixed"/>
          <w:tblCellMar>
            <w:top w:w="0" w:type="dxa"/>
            <w:left w:w="0" w:type="dxa"/>
            <w:bottom w:w="0" w:type="dxa"/>
            <w:right w:w="0" w:type="dxa"/>
          </w:tblCellMar>
        </w:tblPrEx>
        <w:trPr>
          <w:trHeight w:val="415" w:hRule="atLeast"/>
        </w:trPr>
        <w:tc>
          <w:tcPr>
            <w:tcW w:w="57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序号</w:t>
            </w:r>
          </w:p>
        </w:tc>
        <w:tc>
          <w:tcPr>
            <w:tcW w:w="5647"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highlight w:val="yellow"/>
              </w:rPr>
            </w:pPr>
            <w:r>
              <w:rPr>
                <w:rFonts w:hint="eastAsia" w:ascii="仿宋" w:hAnsi="仿宋" w:eastAsia="仿宋" w:cs="仿宋"/>
                <w:sz w:val="24"/>
              </w:rPr>
              <w:t>项目</w:t>
            </w:r>
          </w:p>
        </w:tc>
        <w:tc>
          <w:tcPr>
            <w:tcW w:w="2800"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期末占总资产比例（％）</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1</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现金及银行存款</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0.04%</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2</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同业存单</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3</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拆放同业及债券买入返售</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1.33%</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4</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债券</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94.73%</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5</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非标准化债权类资产</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6</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权益类投资</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7</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金融衍生品</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8</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代客境外理财投资QDII</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9</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商品类资产</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10</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另类资产</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11</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公募基金</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3.90%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12</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私募基金</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13</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资产管理产品</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14</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委外投资——协议方式</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0.00%</w:t>
            </w:r>
          </w:p>
        </w:tc>
      </w:tr>
      <w:tr>
        <w:tblPrEx>
          <w:tblLayout w:type="fixed"/>
          <w:tblCellMar>
            <w:top w:w="0" w:type="dxa"/>
            <w:left w:w="0" w:type="dxa"/>
            <w:bottom w:w="0" w:type="dxa"/>
            <w:right w:w="0" w:type="dxa"/>
          </w:tblCellMar>
        </w:tblPrEx>
        <w:trPr>
          <w:trHeight w:val="20" w:hRule="atLeast"/>
        </w:trPr>
        <w:tc>
          <w:tcPr>
            <w:tcW w:w="572" w:type="dxa"/>
            <w:tcBorders>
              <w:top w:val="single" w:color="auto" w:sz="4" w:space="0"/>
              <w:left w:val="single" w:color="auto" w:sz="4" w:space="0"/>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15</w:t>
            </w:r>
          </w:p>
        </w:tc>
        <w:tc>
          <w:tcPr>
            <w:tcW w:w="5647"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合计</w:t>
            </w:r>
          </w:p>
        </w:tc>
        <w:tc>
          <w:tcPr>
            <w:tcW w:w="2800" w:type="dxa"/>
            <w:tcBorders>
              <w:top w:val="single" w:color="auto" w:sz="4" w:space="0"/>
              <w:left w:val="nil"/>
              <w:bottom w:val="single" w:color="auto" w:sz="4" w:space="0"/>
              <w:right w:val="single" w:color="auto" w:sz="4" w:space="0"/>
            </w:tcBorders>
            <w:vAlign w:val="center"/>
          </w:tcPr>
          <w:p>
            <w:pPr>
              <w:pStyle w:val="3"/>
              <w:adjustRightInd w:val="0"/>
              <w:snapToGrid w:val="0"/>
              <w:spacing w:line="240" w:lineRule="auto"/>
              <w:jc w:val="center"/>
              <w:rPr>
                <w:rFonts w:ascii="仿宋" w:hAnsi="仿宋" w:eastAsia="仿宋" w:cs="仿宋"/>
                <w:b w:val="0"/>
                <w:sz w:val="24"/>
              </w:rPr>
            </w:pPr>
            <w:r>
              <w:rPr>
                <w:rFonts w:hint="eastAsia" w:ascii="仿宋" w:hAnsi="仿宋" w:eastAsia="仿宋" w:cs="仿宋"/>
                <w:b w:val="0"/>
                <w:sz w:val="24"/>
              </w:rPr>
              <w:t>100.00%</w:t>
            </w:r>
          </w:p>
        </w:tc>
      </w:tr>
    </w:tbl>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4.6报告期末投资前十名资产明细</w:t>
      </w:r>
    </w:p>
    <w:p>
      <w:pPr>
        <w:adjustRightInd w:val="0"/>
        <w:snapToGrid w:val="0"/>
        <w:spacing w:line="440" w:lineRule="exact"/>
        <w:ind w:firstLine="6240" w:firstLineChars="2600"/>
        <w:jc w:val="right"/>
        <w:rPr>
          <w:rFonts w:ascii="仿宋" w:hAnsi="仿宋" w:eastAsia="仿宋" w:cs="仿宋"/>
          <w:sz w:val="24"/>
        </w:rPr>
      </w:pPr>
      <w:r>
        <w:rPr>
          <w:rFonts w:hint="eastAsia" w:ascii="仿宋" w:hAnsi="仿宋" w:eastAsia="仿宋" w:cs="仿宋"/>
          <w:sz w:val="24"/>
        </w:rPr>
        <w:t>单位：人民币元</w:t>
      </w:r>
    </w:p>
    <w:tbl>
      <w:tblPr>
        <w:tblStyle w:val="10"/>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2"/>
        <w:gridCol w:w="3772"/>
        <w:gridCol w:w="2340"/>
        <w:gridCol w:w="2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序号</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资产名称</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金额（元）</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占资产净值比例（％）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20南湖02</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51,243,287.67</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8.79%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20仪征02</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31,347,493.15</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3</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20常山01</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30,972,657.53</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4</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21普陀国资PPN001</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30,438,172.13</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5</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23晋能电力MTN003</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30,259,232.88</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6</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22盛裕投资MTN001</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30,021,688.52</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7</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22江津园区MTN001</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29,949,885.25</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8</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21淮开02</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21,499,671.23</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9</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21淮安新城PPN002</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21,300,575.34</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56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10</w:t>
            </w:r>
          </w:p>
        </w:tc>
        <w:tc>
          <w:tcPr>
            <w:tcW w:w="377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21即商02</w:t>
            </w:r>
          </w:p>
        </w:tc>
        <w:tc>
          <w:tcPr>
            <w:tcW w:w="23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20,803,671.23</w:t>
            </w:r>
          </w:p>
        </w:tc>
        <w:tc>
          <w:tcPr>
            <w:tcW w:w="23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jc w:val="center"/>
              <w:rPr>
                <w:rFonts w:ascii="仿宋" w:hAnsi="仿宋" w:eastAsia="仿宋" w:cs="仿宋"/>
                <w:sz w:val="24"/>
              </w:rPr>
            </w:pPr>
            <w:r>
              <w:rPr>
                <w:rFonts w:hint="eastAsia" w:ascii="仿宋" w:hAnsi="仿宋" w:eastAsia="仿宋" w:cs="仿宋"/>
                <w:sz w:val="24"/>
              </w:rPr>
              <w:t>3.57%</w:t>
            </w:r>
          </w:p>
        </w:tc>
      </w:tr>
    </w:tbl>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4.7 报告期融资情况</w:t>
      </w:r>
    </w:p>
    <w:p>
      <w:pPr>
        <w:adjustRightInd w:val="0"/>
        <w:snapToGrid w:val="0"/>
        <w:spacing w:line="440" w:lineRule="exact"/>
        <w:ind w:firstLine="6240" w:firstLineChars="2600"/>
        <w:jc w:val="right"/>
        <w:rPr>
          <w:rFonts w:ascii="仿宋" w:hAnsi="仿宋" w:eastAsia="仿宋" w:cs="仿宋"/>
          <w:sz w:val="24"/>
        </w:rPr>
      </w:pPr>
      <w:r>
        <w:rPr>
          <w:rFonts w:hint="eastAsia" w:ascii="仿宋" w:hAnsi="仿宋" w:eastAsia="仿宋" w:cs="仿宋"/>
          <w:sz w:val="24"/>
        </w:rPr>
        <w:t>单位：人民币元</w:t>
      </w:r>
    </w:p>
    <w:tbl>
      <w:tblPr>
        <w:tblStyle w:val="10"/>
        <w:tblW w:w="8999" w:type="dxa"/>
        <w:tblInd w:w="-5" w:type="dxa"/>
        <w:tblLayout w:type="fixed"/>
        <w:tblCellMar>
          <w:top w:w="0" w:type="dxa"/>
          <w:left w:w="30" w:type="dxa"/>
          <w:bottom w:w="0" w:type="dxa"/>
          <w:right w:w="30" w:type="dxa"/>
        </w:tblCellMar>
      </w:tblPr>
      <w:tblGrid>
        <w:gridCol w:w="632"/>
        <w:gridCol w:w="3167"/>
        <w:gridCol w:w="2433"/>
        <w:gridCol w:w="2767"/>
      </w:tblGrid>
      <w:tr>
        <w:tblPrEx>
          <w:tblLayout w:type="fixed"/>
          <w:tblCellMar>
            <w:top w:w="0" w:type="dxa"/>
            <w:left w:w="30" w:type="dxa"/>
            <w:bottom w:w="0" w:type="dxa"/>
            <w:right w:w="30" w:type="dxa"/>
          </w:tblCellMar>
        </w:tblPrEx>
        <w:trPr>
          <w:trHeight w:val="375" w:hRule="atLeast"/>
        </w:trPr>
        <w:tc>
          <w:tcPr>
            <w:tcW w:w="63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序号</w:t>
            </w:r>
          </w:p>
        </w:tc>
        <w:tc>
          <w:tcPr>
            <w:tcW w:w="3167"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项目</w:t>
            </w:r>
          </w:p>
        </w:tc>
        <w:tc>
          <w:tcPr>
            <w:tcW w:w="2433"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金额（元）</w:t>
            </w:r>
          </w:p>
        </w:tc>
        <w:tc>
          <w:tcPr>
            <w:tcW w:w="2767"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占资产净值比例（％）</w:t>
            </w:r>
          </w:p>
        </w:tc>
      </w:tr>
      <w:tr>
        <w:tblPrEx>
          <w:tblLayout w:type="fixed"/>
          <w:tblCellMar>
            <w:top w:w="0" w:type="dxa"/>
            <w:left w:w="30" w:type="dxa"/>
            <w:bottom w:w="0" w:type="dxa"/>
            <w:right w:w="30" w:type="dxa"/>
          </w:tblCellMar>
        </w:tblPrEx>
        <w:trPr>
          <w:trHeight w:val="295" w:hRule="atLeast"/>
        </w:trPr>
        <w:tc>
          <w:tcPr>
            <w:tcW w:w="63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1</w:t>
            </w:r>
          </w:p>
        </w:tc>
        <w:tc>
          <w:tcPr>
            <w:tcW w:w="31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报告期末质押式回购余额</w:t>
            </w:r>
          </w:p>
        </w:tc>
        <w:tc>
          <w:tcPr>
            <w:tcW w:w="24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kern w:val="0"/>
                <w:sz w:val="24"/>
              </w:rPr>
            </w:pPr>
            <w:r>
              <w:rPr>
                <w:rFonts w:hint="eastAsia" w:ascii="仿宋" w:hAnsi="仿宋" w:eastAsia="仿宋" w:cs="仿宋"/>
                <w:kern w:val="0"/>
                <w:sz w:val="24"/>
              </w:rPr>
              <w:t>89,067,460.39</w:t>
            </w:r>
          </w:p>
        </w:tc>
        <w:tc>
          <w:tcPr>
            <w:tcW w:w="27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kern w:val="0"/>
                <w:sz w:val="24"/>
              </w:rPr>
            </w:pPr>
            <w:r>
              <w:rPr>
                <w:rFonts w:hint="eastAsia" w:ascii="仿宋" w:hAnsi="仿宋" w:eastAsia="仿宋" w:cs="仿宋"/>
                <w:kern w:val="0"/>
                <w:sz w:val="24"/>
              </w:rPr>
              <w:t>15.28%</w:t>
            </w:r>
          </w:p>
        </w:tc>
      </w:tr>
      <w:tr>
        <w:tblPrEx>
          <w:tblLayout w:type="fixed"/>
          <w:tblCellMar>
            <w:top w:w="0" w:type="dxa"/>
            <w:left w:w="30" w:type="dxa"/>
            <w:bottom w:w="0" w:type="dxa"/>
            <w:right w:w="30" w:type="dxa"/>
          </w:tblCellMar>
        </w:tblPrEx>
        <w:trPr>
          <w:trHeight w:val="295" w:hRule="atLeast"/>
        </w:trPr>
        <w:tc>
          <w:tcPr>
            <w:tcW w:w="63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2</w:t>
            </w:r>
          </w:p>
        </w:tc>
        <w:tc>
          <w:tcPr>
            <w:tcW w:w="31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报告期末同业拆入余额</w:t>
            </w:r>
          </w:p>
        </w:tc>
        <w:tc>
          <w:tcPr>
            <w:tcW w:w="24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kern w:val="0"/>
                <w:sz w:val="24"/>
              </w:rPr>
            </w:pPr>
            <w:r>
              <w:rPr>
                <w:rFonts w:hint="eastAsia" w:ascii="仿宋" w:hAnsi="仿宋" w:eastAsia="仿宋" w:cs="仿宋"/>
                <w:kern w:val="0"/>
                <w:sz w:val="24"/>
              </w:rPr>
              <w:t>0.00</w:t>
            </w:r>
          </w:p>
        </w:tc>
        <w:tc>
          <w:tcPr>
            <w:tcW w:w="27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kern w:val="0"/>
                <w:sz w:val="24"/>
              </w:rPr>
            </w:pPr>
            <w:r>
              <w:rPr>
                <w:rFonts w:hint="eastAsia" w:ascii="仿宋" w:hAnsi="仿宋" w:eastAsia="仿宋" w:cs="仿宋"/>
                <w:kern w:val="0"/>
                <w:sz w:val="24"/>
              </w:rPr>
              <w:t>0.00%</w:t>
            </w:r>
          </w:p>
        </w:tc>
      </w:tr>
      <w:tr>
        <w:tblPrEx>
          <w:tblLayout w:type="fixed"/>
          <w:tblCellMar>
            <w:top w:w="0" w:type="dxa"/>
            <w:left w:w="30" w:type="dxa"/>
            <w:bottom w:w="0" w:type="dxa"/>
            <w:right w:w="30" w:type="dxa"/>
          </w:tblCellMar>
        </w:tblPrEx>
        <w:trPr>
          <w:trHeight w:val="295" w:hRule="atLeast"/>
        </w:trPr>
        <w:tc>
          <w:tcPr>
            <w:tcW w:w="632"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cs="仿宋"/>
                <w:sz w:val="24"/>
              </w:rPr>
            </w:pPr>
            <w:r>
              <w:rPr>
                <w:rFonts w:hint="eastAsia" w:ascii="仿宋" w:hAnsi="仿宋" w:eastAsia="仿宋" w:cs="仿宋"/>
                <w:sz w:val="24"/>
              </w:rPr>
              <w:t>3</w:t>
            </w:r>
          </w:p>
        </w:tc>
        <w:tc>
          <w:tcPr>
            <w:tcW w:w="31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其他</w:t>
            </w:r>
          </w:p>
        </w:tc>
        <w:tc>
          <w:tcPr>
            <w:tcW w:w="24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kern w:val="0"/>
                <w:sz w:val="24"/>
              </w:rPr>
            </w:pPr>
            <w:r>
              <w:rPr>
                <w:rFonts w:hint="eastAsia" w:ascii="仿宋" w:hAnsi="仿宋" w:eastAsia="仿宋" w:cs="仿宋"/>
                <w:kern w:val="0"/>
                <w:sz w:val="24"/>
              </w:rPr>
              <w:t>0.00</w:t>
            </w:r>
          </w:p>
        </w:tc>
        <w:tc>
          <w:tcPr>
            <w:tcW w:w="276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kern w:val="0"/>
                <w:sz w:val="24"/>
              </w:rPr>
            </w:pPr>
            <w:r>
              <w:rPr>
                <w:rFonts w:hint="eastAsia" w:ascii="仿宋" w:hAnsi="仿宋" w:eastAsia="仿宋" w:cs="仿宋"/>
                <w:kern w:val="0"/>
                <w:sz w:val="24"/>
              </w:rPr>
              <w:t>0.00%</w:t>
            </w:r>
          </w:p>
        </w:tc>
      </w:tr>
    </w:tbl>
    <w:p>
      <w:pPr>
        <w:adjustRightInd w:val="0"/>
        <w:snapToGrid w:val="0"/>
        <w:spacing w:line="440" w:lineRule="exact"/>
        <w:outlineLvl w:val="2"/>
        <w:rPr>
          <w:rFonts w:ascii="仿宋" w:hAnsi="仿宋" w:eastAsia="仿宋" w:cs="仿宋"/>
          <w:b/>
          <w:sz w:val="24"/>
        </w:rPr>
      </w:pPr>
      <w:bookmarkStart w:id="1" w:name="_Toc481074947"/>
      <w:r>
        <w:rPr>
          <w:rFonts w:hint="eastAsia" w:ascii="仿宋" w:hAnsi="仿宋" w:eastAsia="仿宋" w:cs="仿宋"/>
          <w:b/>
          <w:sz w:val="24"/>
        </w:rPr>
        <w:t>4.8报告期末投资非标准化债权资产</w:t>
      </w:r>
      <w:bookmarkEnd w:id="1"/>
      <w:r>
        <w:rPr>
          <w:rFonts w:hint="eastAsia" w:ascii="仿宋" w:hAnsi="仿宋" w:eastAsia="仿宋" w:cs="仿宋"/>
          <w:b/>
          <w:sz w:val="24"/>
        </w:rPr>
        <w:t>情况</w:t>
      </w:r>
    </w:p>
    <w:p>
      <w:pPr>
        <w:adjustRightInd w:val="0"/>
        <w:snapToGrid w:val="0"/>
        <w:spacing w:line="380" w:lineRule="exact"/>
        <w:ind w:firstLine="6720" w:firstLineChars="2800"/>
        <w:rPr>
          <w:rFonts w:ascii="仿宋" w:hAnsi="仿宋" w:eastAsia="仿宋" w:cs="仿宋"/>
          <w:sz w:val="24"/>
        </w:rPr>
      </w:pPr>
      <w:r>
        <w:rPr>
          <w:rFonts w:hint="eastAsia" w:ascii="仿宋" w:hAnsi="仿宋" w:eastAsia="仿宋" w:cs="仿宋"/>
          <w:sz w:val="24"/>
        </w:rPr>
        <w:t>单位：人民币元</w:t>
      </w:r>
    </w:p>
    <w:tbl>
      <w:tblPr>
        <w:tblStyle w:val="10"/>
        <w:tblW w:w="8994" w:type="dxa"/>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1330"/>
        <w:gridCol w:w="1569"/>
        <w:gridCol w:w="1041"/>
        <w:gridCol w:w="1833"/>
        <w:gridCol w:w="802"/>
        <w:gridCol w:w="970"/>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 xml:space="preserve">序号 </w:t>
            </w:r>
          </w:p>
        </w:tc>
        <w:tc>
          <w:tcPr>
            <w:tcW w:w="133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融资客户</w:t>
            </w:r>
          </w:p>
        </w:tc>
        <w:tc>
          <w:tcPr>
            <w:tcW w:w="156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项目名称</w:t>
            </w:r>
          </w:p>
        </w:tc>
        <w:tc>
          <w:tcPr>
            <w:tcW w:w="104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资产到期日</w:t>
            </w:r>
          </w:p>
        </w:tc>
        <w:tc>
          <w:tcPr>
            <w:tcW w:w="1833"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资产价值（元）</w:t>
            </w:r>
          </w:p>
        </w:tc>
        <w:tc>
          <w:tcPr>
            <w:tcW w:w="80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交易结构</w:t>
            </w:r>
          </w:p>
        </w:tc>
        <w:tc>
          <w:tcPr>
            <w:tcW w:w="9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color w:val="FF0000"/>
                <w:sz w:val="24"/>
              </w:rPr>
            </w:pPr>
            <w:r>
              <w:rPr>
                <w:rFonts w:hint="eastAsia" w:ascii="仿宋" w:hAnsi="仿宋" w:eastAsia="仿宋" w:cs="仿宋"/>
                <w:sz w:val="24"/>
              </w:rPr>
              <w:t>收益分配方式</w:t>
            </w:r>
          </w:p>
        </w:tc>
        <w:tc>
          <w:tcPr>
            <w:tcW w:w="81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仿宋" w:hAnsi="仿宋" w:eastAsia="仿宋" w:cs="仿宋"/>
                <w:sz w:val="24"/>
              </w:rPr>
            </w:pPr>
            <w:r>
              <w:rPr>
                <w:rFonts w:hint="eastAsia" w:ascii="仿宋" w:hAnsi="仿宋" w:eastAsia="仿宋" w:cs="仿宋"/>
                <w:sz w:val="24"/>
              </w:rPr>
              <w:t>风险状况</w:t>
            </w:r>
          </w:p>
        </w:tc>
      </w:tr>
    </w:tbl>
    <w:p>
      <w:pPr>
        <w:adjustRightInd w:val="0"/>
        <w:snapToGrid w:val="0"/>
        <w:spacing w:line="380" w:lineRule="exact"/>
        <w:rPr>
          <w:rFonts w:ascii="仿宋" w:hAnsi="仿宋" w:eastAsia="仿宋" w:cs="仿宋"/>
          <w:color w:val="0000FF"/>
          <w:kern w:val="0"/>
          <w:sz w:val="24"/>
          <w:highlight w:val="yellow"/>
        </w:rPr>
      </w:pPr>
    </w:p>
    <w:p>
      <w:pPr>
        <w:pStyle w:val="2"/>
        <w:adjustRightInd w:val="0"/>
        <w:snapToGrid w:val="0"/>
        <w:spacing w:line="560" w:lineRule="exact"/>
        <w:jc w:val="center"/>
        <w:rPr>
          <w:rFonts w:ascii="仿宋" w:hAnsi="仿宋" w:eastAsia="仿宋" w:cs="仿宋"/>
          <w:sz w:val="24"/>
        </w:rPr>
      </w:pPr>
      <w:r>
        <w:rPr>
          <w:rFonts w:hint="eastAsia" w:ascii="仿宋" w:hAnsi="仿宋" w:eastAsia="仿宋" w:cs="仿宋"/>
          <w:sz w:val="24"/>
        </w:rPr>
        <w:t>§5  产品份额变动</w:t>
      </w:r>
    </w:p>
    <w:p>
      <w:pPr>
        <w:adjustRightInd w:val="0"/>
        <w:snapToGrid w:val="0"/>
        <w:spacing w:line="440" w:lineRule="exact"/>
        <w:ind w:firstLine="6240" w:firstLineChars="2600"/>
        <w:jc w:val="right"/>
        <w:rPr>
          <w:rFonts w:ascii="仿宋" w:hAnsi="仿宋" w:eastAsia="仿宋" w:cs="仿宋"/>
          <w:sz w:val="24"/>
        </w:rPr>
      </w:pPr>
      <w:r>
        <w:rPr>
          <w:rFonts w:hint="eastAsia" w:ascii="仿宋" w:hAnsi="仿宋" w:eastAsia="仿宋" w:cs="仿宋"/>
          <w:sz w:val="24"/>
        </w:rPr>
        <w:t>单位：份</w:t>
      </w:r>
    </w:p>
    <w:tbl>
      <w:tblPr>
        <w:tblStyle w:val="10"/>
        <w:tblW w:w="8987" w:type="dxa"/>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1"/>
        <w:gridCol w:w="4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1"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color w:val="000000"/>
                <w:sz w:val="24"/>
              </w:rPr>
            </w:pPr>
            <w:r>
              <w:rPr>
                <w:rFonts w:hint="eastAsia" w:ascii="仿宋" w:hAnsi="仿宋" w:eastAsia="仿宋" w:cs="仿宋"/>
                <w:color w:val="000000"/>
                <w:sz w:val="24"/>
              </w:rPr>
              <w:t>报告期期初产品份额总额</w:t>
            </w:r>
          </w:p>
        </w:tc>
        <w:tc>
          <w:tcPr>
            <w:tcW w:w="4596" w:type="dxa"/>
            <w:tcBorders>
              <w:top w:val="single" w:color="auto" w:sz="4" w:space="0"/>
              <w:left w:val="single" w:color="auto" w:sz="4" w:space="0"/>
              <w:bottom w:val="single" w:color="auto" w:sz="4" w:space="0"/>
              <w:right w:val="single" w:color="auto" w:sz="4" w:space="0"/>
            </w:tcBorders>
          </w:tcPr>
          <w:p>
            <w:pPr>
              <w:adjustRightInd w:val="0"/>
              <w:snapToGrid w:val="0"/>
              <w:jc w:val="right"/>
              <w:rPr>
                <w:rFonts w:ascii="仿宋" w:hAnsi="仿宋" w:eastAsia="仿宋" w:cs="仿宋"/>
                <w:color w:val="000000"/>
                <w:sz w:val="24"/>
              </w:rPr>
            </w:pPr>
            <w:r>
              <w:rPr>
                <w:rFonts w:hint="eastAsia" w:ascii="仿宋" w:hAnsi="仿宋" w:eastAsia="仿宋" w:cs="仿宋"/>
                <w:color w:val="000000"/>
                <w:sz w:val="24"/>
              </w:rPr>
              <w:t>524,062,761.01</w:t>
            </w: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91" w:type="dxa"/>
            <w:tcBorders>
              <w:top w:val="single" w:color="auto" w:sz="4" w:space="0"/>
              <w:left w:val="single" w:color="auto" w:sz="4" w:space="0"/>
              <w:bottom w:val="single" w:color="auto" w:sz="4" w:space="0"/>
              <w:right w:val="single" w:color="auto" w:sz="4" w:space="0"/>
            </w:tcBorders>
          </w:tcPr>
          <w:p>
            <w:pPr>
              <w:adjustRightInd w:val="0"/>
              <w:snapToGrid w:val="0"/>
              <w:rPr>
                <w:rFonts w:ascii="仿宋" w:hAnsi="仿宋" w:eastAsia="仿宋" w:cs="仿宋"/>
                <w:color w:val="000000"/>
                <w:sz w:val="24"/>
              </w:rPr>
            </w:pPr>
            <w:r>
              <w:rPr>
                <w:rFonts w:hint="eastAsia" w:ascii="仿宋" w:hAnsi="仿宋" w:eastAsia="仿宋" w:cs="仿宋"/>
                <w:color w:val="000000"/>
                <w:sz w:val="24"/>
              </w:rPr>
              <w:t>报告期期末产品份额总额</w:t>
            </w:r>
          </w:p>
        </w:tc>
        <w:tc>
          <w:tcPr>
            <w:tcW w:w="4596" w:type="dxa"/>
            <w:tcBorders>
              <w:top w:val="single" w:color="auto" w:sz="4" w:space="0"/>
              <w:left w:val="single" w:color="auto" w:sz="4" w:space="0"/>
              <w:bottom w:val="single" w:color="auto" w:sz="4" w:space="0"/>
              <w:right w:val="single" w:color="auto" w:sz="4" w:space="0"/>
            </w:tcBorders>
          </w:tcPr>
          <w:p>
            <w:pPr>
              <w:adjustRightInd w:val="0"/>
              <w:snapToGrid w:val="0"/>
              <w:jc w:val="right"/>
              <w:rPr>
                <w:rFonts w:ascii="仿宋" w:hAnsi="仿宋" w:eastAsia="仿宋" w:cs="仿宋"/>
                <w:color w:val="000000"/>
                <w:sz w:val="24"/>
              </w:rPr>
            </w:pPr>
            <w:r>
              <w:rPr>
                <w:rFonts w:hint="eastAsia" w:ascii="仿宋" w:hAnsi="仿宋" w:eastAsia="仿宋" w:cs="仿宋"/>
                <w:color w:val="000000"/>
                <w:sz w:val="24"/>
              </w:rPr>
              <w:t>524,062,761.01</w:t>
            </w:r>
          </w:p>
        </w:tc>
      </w:tr>
    </w:tbl>
    <w:p>
      <w:pPr>
        <w:widowControl/>
        <w:adjustRightInd w:val="0"/>
        <w:snapToGrid w:val="0"/>
        <w:jc w:val="left"/>
        <w:rPr>
          <w:rFonts w:ascii="仿宋" w:hAnsi="仿宋" w:eastAsia="仿宋" w:cs="仿宋"/>
          <w:color w:val="404040"/>
          <w:kern w:val="0"/>
          <w:sz w:val="24"/>
        </w:rPr>
      </w:pPr>
    </w:p>
    <w:p>
      <w:pPr>
        <w:pStyle w:val="2"/>
        <w:adjustRightInd w:val="0"/>
        <w:snapToGrid w:val="0"/>
        <w:spacing w:line="560" w:lineRule="exact"/>
        <w:jc w:val="center"/>
        <w:rPr>
          <w:rFonts w:ascii="仿宋" w:hAnsi="仿宋" w:eastAsia="仿宋" w:cs="仿宋"/>
          <w:sz w:val="24"/>
        </w:rPr>
      </w:pPr>
      <w:r>
        <w:rPr>
          <w:rFonts w:hint="eastAsia" w:ascii="仿宋" w:hAnsi="仿宋" w:eastAsia="仿宋" w:cs="仿宋"/>
          <w:sz w:val="24"/>
        </w:rPr>
        <w:t>§6 托管人报告</w:t>
      </w:r>
    </w:p>
    <w:p>
      <w:pPr>
        <w:adjustRightInd w:val="0"/>
        <w:snapToGrid w:val="0"/>
        <w:spacing w:line="420" w:lineRule="exact"/>
        <w:ind w:firstLine="480" w:firstLineChars="200"/>
        <w:rPr>
          <w:rFonts w:ascii="仿宋" w:hAnsi="仿宋" w:eastAsia="仿宋" w:cs="仿宋"/>
          <w:sz w:val="24"/>
        </w:rPr>
      </w:pPr>
      <w:r>
        <w:rPr>
          <w:rFonts w:hint="eastAsia" w:ascii="仿宋" w:hAnsi="仿宋" w:eastAsia="仿宋" w:cs="仿宋"/>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pPr>
        <w:adjustRightInd w:val="0"/>
        <w:snapToGrid w:val="0"/>
        <w:spacing w:line="420" w:lineRule="exact"/>
        <w:ind w:firstLine="480" w:firstLineChars="200"/>
        <w:rPr>
          <w:rFonts w:ascii="仿宋" w:hAnsi="仿宋" w:eastAsia="仿宋" w:cs="仿宋"/>
          <w:sz w:val="24"/>
        </w:rPr>
      </w:pPr>
      <w:r>
        <w:rPr>
          <w:rFonts w:hint="eastAsia" w:ascii="仿宋" w:hAnsi="仿宋" w:eastAsia="仿宋" w:cs="仿宋"/>
          <w:sz w:val="24"/>
        </w:rPr>
        <w:t>本托管人复核了本产品报告中的财务指标、净值表现和投资组合报告等内容。经复核，本产品报告中披露的理财产品财务数据核对一致。</w:t>
      </w:r>
    </w:p>
    <w:p>
      <w:pPr>
        <w:adjustRightInd w:val="0"/>
        <w:snapToGrid w:val="0"/>
        <w:rPr>
          <w:rFonts w:ascii="仿宋" w:hAnsi="仿宋" w:eastAsia="仿宋" w:cs="仿宋"/>
          <w:bCs/>
          <w:sz w:val="24"/>
        </w:rPr>
      </w:pPr>
    </w:p>
    <w:p>
      <w:pPr>
        <w:pStyle w:val="2"/>
        <w:adjustRightInd w:val="0"/>
        <w:snapToGrid w:val="0"/>
        <w:spacing w:line="560" w:lineRule="exact"/>
        <w:jc w:val="center"/>
        <w:rPr>
          <w:rFonts w:ascii="仿宋" w:hAnsi="仿宋" w:eastAsia="仿宋" w:cs="仿宋"/>
          <w:sz w:val="24"/>
        </w:rPr>
      </w:pPr>
      <w:r>
        <w:rPr>
          <w:rFonts w:hint="eastAsia" w:ascii="仿宋" w:hAnsi="仿宋" w:eastAsia="仿宋" w:cs="仿宋"/>
          <w:sz w:val="24"/>
        </w:rPr>
        <w:t>§7 报告期内关联交易情况</w:t>
      </w:r>
    </w:p>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7.1 产品投资于关联方发行或承销的证券、资产管理产品，或其他关联交易</w:t>
      </w:r>
    </w:p>
    <w:p>
      <w:pPr>
        <w:adjustRightInd w:val="0"/>
        <w:snapToGrid w:val="0"/>
        <w:spacing w:line="440" w:lineRule="exact"/>
        <w:ind w:firstLine="6240" w:firstLineChars="2600"/>
        <w:jc w:val="right"/>
        <w:rPr>
          <w:rFonts w:ascii="仿宋" w:hAnsi="仿宋" w:eastAsia="仿宋" w:cs="仿宋"/>
          <w:b/>
          <w:sz w:val="24"/>
        </w:rPr>
      </w:pPr>
      <w:r>
        <w:rPr>
          <w:rFonts w:hint="eastAsia" w:ascii="仿宋" w:hAnsi="仿宋" w:eastAsia="仿宋" w:cs="仿宋"/>
          <w:sz w:val="24"/>
        </w:rPr>
        <w:t>单位：元、份</w:t>
      </w:r>
    </w:p>
    <w:tbl>
      <w:tblPr>
        <w:tblStyle w:val="11"/>
        <w:tblW w:w="8994" w:type="dxa"/>
        <w:tblInd w:w="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34"/>
        <w:gridCol w:w="1605"/>
        <w:gridCol w:w="1401"/>
        <w:gridCol w:w="791"/>
        <w:gridCol w:w="754"/>
        <w:gridCol w:w="1904"/>
        <w:gridCol w:w="19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634"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序号</w:t>
            </w:r>
          </w:p>
        </w:tc>
        <w:tc>
          <w:tcPr>
            <w:tcW w:w="1605"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关联方</w:t>
            </w:r>
          </w:p>
        </w:tc>
        <w:tc>
          <w:tcPr>
            <w:tcW w:w="1401"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资产名称</w:t>
            </w:r>
          </w:p>
        </w:tc>
        <w:tc>
          <w:tcPr>
            <w:tcW w:w="791"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资产类型</w:t>
            </w:r>
          </w:p>
        </w:tc>
        <w:tc>
          <w:tcPr>
            <w:tcW w:w="754"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交易类型</w:t>
            </w:r>
          </w:p>
        </w:tc>
        <w:tc>
          <w:tcPr>
            <w:tcW w:w="1904"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交易金额（元）</w:t>
            </w:r>
          </w:p>
        </w:tc>
        <w:tc>
          <w:tcPr>
            <w:tcW w:w="1905"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份额</w:t>
            </w:r>
          </w:p>
        </w:tc>
      </w:tr>
    </w:tbl>
    <w:p>
      <w:pPr>
        <w:adjustRightInd w:val="0"/>
        <w:snapToGrid w:val="0"/>
        <w:spacing w:line="440" w:lineRule="exact"/>
        <w:outlineLvl w:val="2"/>
        <w:rPr>
          <w:rFonts w:ascii="仿宋" w:hAnsi="仿宋" w:eastAsia="仿宋" w:cs="仿宋"/>
          <w:b/>
          <w:sz w:val="24"/>
        </w:rPr>
      </w:pPr>
      <w:r>
        <w:rPr>
          <w:rFonts w:hint="eastAsia" w:ascii="仿宋" w:hAnsi="仿宋" w:eastAsia="仿宋" w:cs="仿宋"/>
          <w:b/>
          <w:sz w:val="24"/>
        </w:rPr>
        <w:t>7.2 产品向关联方支付的费用</w:t>
      </w:r>
    </w:p>
    <w:tbl>
      <w:tblPr>
        <w:tblStyle w:val="11"/>
        <w:tblW w:w="8994" w:type="dxa"/>
        <w:tblInd w:w="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4"/>
        <w:gridCol w:w="2958"/>
        <w:gridCol w:w="2202"/>
        <w:gridCol w:w="31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94" w:type="dxa"/>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序号</w:t>
            </w:r>
          </w:p>
        </w:tc>
        <w:tc>
          <w:tcPr>
            <w:tcW w:w="2958"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关联方</w:t>
            </w:r>
          </w:p>
        </w:tc>
        <w:tc>
          <w:tcPr>
            <w:tcW w:w="2202"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费用类型</w:t>
            </w:r>
          </w:p>
        </w:tc>
        <w:tc>
          <w:tcPr>
            <w:tcW w:w="3140"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交易金额（元）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7" w:hRule="atLeast"/>
        </w:trPr>
        <w:tc>
          <w:tcPr>
            <w:tcW w:w="694" w:type="dxa"/>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1</w:t>
            </w:r>
          </w:p>
        </w:tc>
        <w:tc>
          <w:tcPr>
            <w:tcW w:w="2958"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杭州银行股份有限公司</w:t>
            </w:r>
          </w:p>
        </w:tc>
        <w:tc>
          <w:tcPr>
            <w:tcW w:w="2202"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销售费</w:t>
            </w:r>
          </w:p>
        </w:tc>
        <w:tc>
          <w:tcPr>
            <w:tcW w:w="3140" w:type="dxa"/>
            <w:vAlign w:val="center"/>
          </w:tcPr>
          <w:p>
            <w:pPr>
              <w:adjustRightInd w:val="0"/>
              <w:snapToGrid w:val="0"/>
              <w:jc w:val="center"/>
              <w:rPr>
                <w:rFonts w:ascii="仿宋" w:hAnsi="仿宋" w:eastAsia="仿宋" w:cs="仿宋"/>
                <w:color w:val="000000"/>
                <w:kern w:val="0"/>
                <w:sz w:val="24"/>
                <w:szCs w:val="20"/>
              </w:rPr>
            </w:pPr>
            <w:r>
              <w:rPr>
                <w:rFonts w:hint="eastAsia" w:ascii="仿宋" w:hAnsi="仿宋" w:eastAsia="仿宋" w:cs="仿宋"/>
                <w:color w:val="000000"/>
                <w:kern w:val="0"/>
                <w:sz w:val="24"/>
              </w:rPr>
              <w:t>2,041,105.11</w:t>
            </w:r>
          </w:p>
        </w:tc>
      </w:tr>
    </w:tbl>
    <w:p>
      <w:pPr>
        <w:widowControl/>
        <w:adjustRightInd w:val="0"/>
        <w:snapToGrid w:val="0"/>
        <w:ind w:firstLine="480" w:firstLineChars="200"/>
        <w:jc w:val="left"/>
        <w:rPr>
          <w:rFonts w:ascii="仿宋" w:hAnsi="仿宋" w:eastAsia="仿宋" w:cs="仿宋"/>
          <w:color w:val="404040"/>
          <w:kern w:val="0"/>
          <w:sz w:val="24"/>
        </w:rPr>
      </w:pPr>
    </w:p>
    <w:p>
      <w:pPr>
        <w:widowControl/>
        <w:adjustRightInd w:val="0"/>
        <w:snapToGrid w:val="0"/>
        <w:ind w:firstLine="480" w:firstLineChars="200"/>
        <w:jc w:val="left"/>
        <w:rPr>
          <w:rFonts w:ascii="仿宋" w:hAnsi="仿宋" w:eastAsia="仿宋" w:cs="仿宋"/>
          <w:color w:val="404040"/>
          <w:kern w:val="0"/>
          <w:sz w:val="24"/>
        </w:rPr>
      </w:pPr>
    </w:p>
    <w:p>
      <w:pPr>
        <w:ind w:left="360"/>
        <w:jc w:val="right"/>
        <w:rPr>
          <w:rFonts w:ascii="仿宋" w:hAnsi="仿宋" w:eastAsia="仿宋" w:cs="仿宋"/>
          <w:sz w:val="24"/>
        </w:rPr>
      </w:pPr>
    </w:p>
    <w:p>
      <w:pPr>
        <w:ind w:left="360"/>
        <w:jc w:val="right"/>
        <w:rPr>
          <w:rFonts w:ascii="仿宋" w:hAnsi="仿宋" w:eastAsia="仿宋" w:cs="仿宋"/>
          <w:sz w:val="24"/>
        </w:rPr>
      </w:pPr>
      <w:r>
        <w:rPr>
          <w:rFonts w:hint="eastAsia" w:ascii="仿宋" w:hAnsi="仿宋" w:eastAsia="仿宋" w:cs="仿宋"/>
          <w:sz w:val="24"/>
        </w:rPr>
        <w:t>杭银理财有限责任公司</w:t>
      </w:r>
    </w:p>
    <w:p>
      <w:pPr>
        <w:jc w:val="right"/>
        <w:rPr>
          <w:sz w:val="24"/>
        </w:rPr>
      </w:pPr>
      <w:r>
        <w:rPr>
          <w:rFonts w:hint="eastAsia" w:ascii="仿宋" w:hAnsi="仿宋" w:eastAsia="仿宋" w:cs="仿宋"/>
          <w:sz w:val="24"/>
        </w:rPr>
        <w:t>2023年4月19日</w:t>
      </w:r>
    </w:p>
    <w:p/>
    <w:p/>
    <w:sectPr>
      <w:headerReference r:id="rId3" w:type="default"/>
      <w:pgSz w:w="11906" w:h="16838"/>
      <w:pgMar w:top="2551" w:right="1803" w:bottom="2551" w:left="1803" w:header="851" w:footer="992" w:gutter="0"/>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方正仿宋简体">
    <w:altName w:val="宋体"/>
    <w:panose1 w:val="00000000000000000000"/>
    <w:charset w:val="86"/>
    <w:family w:val="roman"/>
    <w:pitch w:val="default"/>
    <w:sig w:usb0="00000000" w:usb1="00000000" w:usb2="00000000" w:usb3="00000000" w:csb0="00040000" w:csb1="00000000"/>
  </w:font>
  <w:font w:name="方正楷体简体">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AC9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2"/>
    <w:unhideWhenUsed/>
    <w:qFormat/>
    <w:uiPriority w:val="0"/>
    <w:pPr>
      <w:keepNext/>
      <w:keepLines/>
      <w:spacing w:line="400" w:lineRule="exact"/>
      <w:jc w:val="left"/>
      <w:outlineLvl w:val="1"/>
    </w:pPr>
    <w:rPr>
      <w:rFonts w:ascii="Arial" w:hAnsi="Arial" w:eastAsia="宋体"/>
      <w:b/>
    </w:rPr>
  </w:style>
  <w:style w:type="paragraph" w:styleId="3">
    <w:name w:val="heading 3"/>
    <w:basedOn w:val="1"/>
    <w:next w:val="1"/>
    <w:link w:val="13"/>
    <w:unhideWhenUsed/>
    <w:qFormat/>
    <w:uiPriority w:val="0"/>
    <w:pPr>
      <w:keepNext/>
      <w:keepLines/>
      <w:spacing w:line="400" w:lineRule="exact"/>
      <w:jc w:val="left"/>
      <w:outlineLvl w:val="2"/>
    </w:pPr>
    <w:rPr>
      <w:rFonts w:ascii="Times New Roman" w:hAnsi="Times New Roman" w:eastAsia="宋体"/>
      <w:b/>
    </w:rPr>
  </w:style>
  <w:style w:type="character" w:default="1" w:styleId="9">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4">
    <w:name w:val="Body Text"/>
    <w:basedOn w:val="1"/>
    <w:link w:val="14"/>
    <w:unhideWhenUsed/>
    <w:qFormat/>
    <w:uiPriority w:val="0"/>
    <w:pPr>
      <w:spacing w:after="120"/>
    </w:pPr>
    <w:rPr>
      <w:rFonts w:ascii="Times New Roman" w:hAnsi="Times New Roman" w:eastAsia="方正仿宋简体" w:cs="Times New Roman"/>
      <w:sz w:val="32"/>
      <w:szCs w:val="20"/>
    </w:rPr>
  </w:style>
  <w:style w:type="paragraph" w:styleId="5">
    <w:name w:val="Balloon Text"/>
    <w:basedOn w:val="1"/>
    <w:link w:val="17"/>
    <w:semiHidden/>
    <w:unhideWhenUsed/>
    <w:uiPriority w:val="99"/>
    <w:rPr>
      <w:sz w:val="18"/>
      <w:szCs w:val="18"/>
    </w:rPr>
  </w:style>
  <w:style w:type="paragraph" w:styleId="6">
    <w:name w:val="footer"/>
    <w:basedOn w:val="1"/>
    <w:link w:val="16"/>
    <w:unhideWhenUsed/>
    <w:uiPriority w:val="99"/>
    <w:pPr>
      <w:tabs>
        <w:tab w:val="center" w:pos="4153"/>
        <w:tab w:val="right" w:pos="8306"/>
      </w:tabs>
      <w:snapToGrid w:val="0"/>
      <w:jc w:val="left"/>
    </w:pPr>
    <w:rPr>
      <w:sz w:val="18"/>
      <w:szCs w:val="18"/>
    </w:rPr>
  </w:style>
  <w:style w:type="paragraph" w:styleId="7">
    <w:name w:val="header"/>
    <w:basedOn w:val="1"/>
    <w:link w:val="1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unhideWhenUsed/>
    <w:qFormat/>
    <w:uiPriority w:val="0"/>
    <w:pPr>
      <w:widowControl/>
      <w:spacing w:before="100" w:beforeAutospacing="1" w:after="100" w:afterAutospacing="1"/>
    </w:pPr>
    <w:rPr>
      <w:rFonts w:ascii="宋体" w:hAnsi="宋体" w:eastAsia="宋体" w:cs="Times New Roman"/>
      <w:kern w:val="0"/>
      <w:sz w:val="24"/>
      <w:szCs w:val="20"/>
    </w:rPr>
  </w:style>
  <w:style w:type="table" w:styleId="11">
    <w:name w:val="Table Grid"/>
    <w:basedOn w:val="10"/>
    <w:unhideWhenUse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12">
    <w:name w:val="标题 2 字符"/>
    <w:basedOn w:val="9"/>
    <w:link w:val="2"/>
    <w:uiPriority w:val="0"/>
    <w:rPr>
      <w:rFonts w:ascii="Arial" w:hAnsi="Arial" w:eastAsia="宋体"/>
      <w:b/>
    </w:rPr>
  </w:style>
  <w:style w:type="character" w:customStyle="1" w:styleId="13">
    <w:name w:val="标题 3 字符"/>
    <w:basedOn w:val="9"/>
    <w:link w:val="3"/>
    <w:uiPriority w:val="0"/>
    <w:rPr>
      <w:rFonts w:ascii="Times New Roman" w:hAnsi="Times New Roman" w:eastAsia="宋体"/>
      <w:b/>
    </w:rPr>
  </w:style>
  <w:style w:type="character" w:customStyle="1" w:styleId="14">
    <w:name w:val="正文文本 字符"/>
    <w:basedOn w:val="9"/>
    <w:link w:val="4"/>
    <w:qFormat/>
    <w:uiPriority w:val="0"/>
    <w:rPr>
      <w:rFonts w:ascii="Times New Roman" w:hAnsi="Times New Roman" w:eastAsia="方正仿宋简体" w:cs="Times New Roman"/>
      <w:sz w:val="32"/>
      <w:szCs w:val="20"/>
    </w:rPr>
  </w:style>
  <w:style w:type="character" w:customStyle="1" w:styleId="15">
    <w:name w:val="页眉 字符"/>
    <w:basedOn w:val="9"/>
    <w:link w:val="7"/>
    <w:uiPriority w:val="0"/>
    <w:rPr>
      <w:sz w:val="18"/>
    </w:rPr>
  </w:style>
  <w:style w:type="character" w:customStyle="1" w:styleId="16">
    <w:name w:val="页脚 字符"/>
    <w:basedOn w:val="9"/>
    <w:link w:val="6"/>
    <w:uiPriority w:val="99"/>
    <w:rPr>
      <w:kern w:val="2"/>
      <w:sz w:val="18"/>
      <w:szCs w:val="18"/>
    </w:rPr>
  </w:style>
  <w:style w:type="character" w:customStyle="1" w:styleId="17">
    <w:name w:val="批注框文本 字符"/>
    <w:basedOn w:val="9"/>
    <w:link w:val="5"/>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365</Words>
  <Characters>2082</Characters>
  <Lines>17</Lines>
  <Paragraphs>4</Paragraphs>
  <TotalTime>0</TotalTime>
  <ScaleCrop>false</ScaleCrop>
  <LinksUpToDate>false</LinksUpToDate>
  <CharactersWithSpaces>2443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2023-04-13T06:44:00Z</dcterms:created>
  <dc:creator>s c</dc:creator>
  <cp:lastModifiedBy>高玉锦</cp:lastModifiedBy>
  <dcterms:modified xsi:type="dcterms:W3CDTF">2023-04-20T09:26:55Z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