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32"/>
          <w:szCs w:val="20"/>
        </w:rPr>
      </w:pPr>
    </w:p>
    <w:p>
      <w:pPr>
        <w:adjustRightInd w:val="0"/>
        <w:snapToGrid w:val="0"/>
        <w:spacing w:line="460" w:lineRule="exact"/>
        <w:jc w:val="center"/>
        <w:rPr>
          <w:rFonts w:ascii="Times New Roman" w:hAnsi="Times New Roman" w:eastAsia="方正楷体简体"/>
          <w:sz w:val="24"/>
        </w:rPr>
      </w:pPr>
    </w:p>
    <w:p>
      <w:pPr>
        <w:pStyle w:val="2"/>
        <w:keepNext w:val="0"/>
        <w:keepLines w:val="0"/>
        <w:autoSpaceDE w:val="0"/>
        <w:autoSpaceDN w:val="0"/>
        <w:spacing w:before="220" w:line="240" w:lineRule="auto"/>
        <w:jc w:val="center"/>
        <w:rPr>
          <w:rFonts w:ascii="仿宋_GB2312" w:hAnsi="仿宋_GB2312" w:eastAsia="仿宋_GB2312" w:cs="仿宋_GB2312"/>
          <w:bCs/>
          <w:kern w:val="0"/>
          <w:sz w:val="52"/>
          <w:szCs w:val="52"/>
          <w:lang w:bidi="zh-CN"/>
        </w:rPr>
      </w:pPr>
      <w:r>
        <w:rPr>
          <w:rFonts w:hint="eastAsia" w:ascii="仿宋_GB2312" w:hAnsi="仿宋_GB2312" w:eastAsia="仿宋_GB2312" w:cs="仿宋_GB2312"/>
          <w:bCs/>
          <w:kern w:val="0"/>
          <w:sz w:val="52"/>
          <w:szCs w:val="52"/>
          <w:lang w:bidi="zh-CN"/>
        </w:rPr>
        <w:t>年添益2006期</w:t>
      </w:r>
    </w:p>
    <w:p>
      <w:pPr>
        <w:autoSpaceDE w:val="0"/>
        <w:autoSpaceDN w:val="0"/>
        <w:spacing w:line="360" w:lineRule="auto"/>
        <w:jc w:val="center"/>
        <w:rPr>
          <w:rFonts w:ascii="仿宋_GB2312" w:hAnsi="仿宋_GB2312" w:eastAsia="仿宋_GB2312" w:cs="仿宋_GB2312"/>
          <w:b/>
          <w:bCs/>
          <w:kern w:val="0"/>
          <w:sz w:val="44"/>
          <w:szCs w:val="44"/>
          <w:lang w:bidi="zh-CN"/>
        </w:rPr>
      </w:pPr>
      <w:r>
        <w:rPr>
          <w:rFonts w:hint="eastAsia" w:ascii="仿宋_GB2312" w:hAnsi="仿宋_GB2312" w:eastAsia="仿宋_GB2312" w:cs="仿宋_GB2312"/>
          <w:b/>
          <w:bCs/>
          <w:kern w:val="0"/>
          <w:sz w:val="44"/>
          <w:szCs w:val="44"/>
          <w:lang w:bidi="zh-CN"/>
        </w:rPr>
        <w:t>2023</w:t>
      </w:r>
      <w:r>
        <w:rPr>
          <w:rFonts w:ascii="仿宋_GB2312" w:hAnsi="仿宋_GB2312" w:eastAsia="仿宋_GB2312" w:cs="仿宋_GB2312"/>
          <w:b/>
          <w:sz w:val="44"/>
        </w:rPr>
        <w:t>年第1季度报告</w:t>
      </w:r>
    </w:p>
    <w:p>
      <w:pPr>
        <w:jc w:val="center"/>
        <w:rPr>
          <w:rFonts w:ascii="宋体" w:hAnsi="宋体" w:eastAsia="宋体" w:cs="Times New Roman"/>
          <w:color w:val="0000FF"/>
          <w:kern w:val="0"/>
          <w:sz w:val="18"/>
          <w:szCs w:val="20"/>
        </w:rPr>
      </w:pPr>
    </w:p>
    <w:p>
      <w:pPr>
        <w:jc w:val="center"/>
        <w:rPr>
          <w:rFonts w:eastAsia="宋体"/>
          <w:sz w:val="24"/>
        </w:rPr>
      </w:pPr>
    </w:p>
    <w:p>
      <w:pPr>
        <w:jc w:val="center"/>
        <w:rPr>
          <w:rFonts w:eastAsia="宋体"/>
          <w:sz w:val="24"/>
        </w:rPr>
      </w:pPr>
    </w:p>
    <w:p>
      <w:pPr>
        <w:jc w:val="center"/>
        <w:rPr>
          <w:rFonts w:ascii="仿宋" w:hAnsi="仿宋" w:eastAsia="仿宋" w:cs="仿宋"/>
          <w:sz w:val="24"/>
        </w:rPr>
      </w:pPr>
    </w:p>
    <w:p>
      <w:pPr>
        <w:jc w:val="center"/>
        <w:rPr>
          <w:rFonts w:ascii="仿宋" w:hAnsi="仿宋" w:eastAsia="仿宋" w:cs="仿宋"/>
          <w:sz w:val="24"/>
        </w:rPr>
      </w:pPr>
    </w:p>
    <w:p>
      <w:pPr>
        <w:jc w:val="center"/>
        <w:rPr>
          <w:rFonts w:ascii="仿宋" w:hAnsi="仿宋" w:eastAsia="仿宋" w:cs="仿宋"/>
          <w:sz w:val="24"/>
        </w:rPr>
      </w:pPr>
    </w:p>
    <w:p>
      <w:pPr>
        <w:jc w:val="center"/>
        <w:rPr>
          <w:rFonts w:ascii="仿宋" w:hAnsi="仿宋" w:eastAsia="仿宋" w:cs="仿宋"/>
          <w:sz w:val="24"/>
        </w:rPr>
      </w:pPr>
      <w:r>
        <w:rPr>
          <w:rFonts w:hint="eastAsia" w:ascii="仿宋" w:hAnsi="仿宋" w:eastAsia="仿宋" w:cs="仿宋"/>
          <w:sz w:val="24"/>
        </w:rPr>
        <w:t>产品管理人：</w:t>
      </w:r>
      <w:r>
        <w:rPr>
          <w:rFonts w:ascii="仿宋" w:hAnsi="仿宋" w:eastAsia="仿宋" w:cs="仿宋"/>
          <w:sz w:val="24"/>
        </w:rPr>
        <w:t>杭银理财有限责任公司</w:t>
      </w:r>
    </w:p>
    <w:p>
      <w:pPr>
        <w:jc w:val="center"/>
        <w:rPr>
          <w:rFonts w:ascii="仿宋" w:hAnsi="仿宋" w:eastAsia="仿宋" w:cs="仿宋"/>
          <w:sz w:val="24"/>
        </w:rPr>
      </w:pPr>
      <w:r>
        <w:rPr>
          <w:rFonts w:hint="eastAsia" w:ascii="仿宋" w:hAnsi="仿宋" w:eastAsia="仿宋" w:cs="仿宋"/>
          <w:sz w:val="24"/>
        </w:rPr>
        <w:t>产品托管人：</w:t>
      </w:r>
      <w:r>
        <w:rPr>
          <w:rFonts w:ascii="仿宋" w:hAnsi="仿宋" w:eastAsia="仿宋" w:cs="仿宋"/>
          <w:sz w:val="24"/>
        </w:rPr>
        <w:t>杭州银行股份有限公司</w:t>
      </w:r>
    </w:p>
    <w:p>
      <w:pPr>
        <w:jc w:val="center"/>
        <w:rPr>
          <w:rFonts w:ascii="仿宋" w:hAnsi="仿宋" w:eastAsia="仿宋" w:cs="仿宋"/>
          <w:sz w:val="24"/>
        </w:rPr>
      </w:pPr>
    </w:p>
    <w:p>
      <w:pPr>
        <w:jc w:val="center"/>
        <w:rPr>
          <w:rFonts w:ascii="仿宋" w:hAnsi="仿宋" w:eastAsia="仿宋" w:cs="仿宋"/>
          <w:sz w:val="24"/>
        </w:rPr>
      </w:pPr>
    </w:p>
    <w:p>
      <w:pPr>
        <w:jc w:val="center"/>
        <w:rPr>
          <w:rFonts w:ascii="仿宋" w:hAnsi="仿宋" w:eastAsia="仿宋" w:cs="仿宋"/>
          <w:sz w:val="24"/>
        </w:rPr>
      </w:pPr>
    </w:p>
    <w:p>
      <w:pPr>
        <w:jc w:val="center"/>
        <w:rPr>
          <w:rFonts w:ascii="仿宋" w:hAnsi="仿宋" w:eastAsia="仿宋" w:cs="仿宋"/>
          <w:sz w:val="24"/>
        </w:rPr>
      </w:pPr>
      <w:r>
        <w:rPr>
          <w:rFonts w:hint="eastAsia" w:ascii="仿宋" w:hAnsi="仿宋" w:eastAsia="仿宋" w:cs="仿宋"/>
          <w:sz w:val="24"/>
        </w:rPr>
        <w:t>2023年4月19日</w:t>
      </w:r>
    </w:p>
    <w:p>
      <w:pPr>
        <w:jc w:val="center"/>
        <w:rPr>
          <w:rFonts w:ascii="仿宋" w:hAnsi="仿宋" w:eastAsia="仿宋" w:cs="仿宋"/>
          <w:sz w:val="24"/>
        </w:rPr>
      </w:pPr>
    </w:p>
    <w:p>
      <w:pPr>
        <w:jc w:val="center"/>
        <w:rPr>
          <w:rFonts w:ascii="仿宋" w:hAnsi="仿宋" w:eastAsia="仿宋" w:cs="仿宋"/>
          <w:sz w:val="24"/>
        </w:rPr>
      </w:pPr>
    </w:p>
    <w:p>
      <w:pPr>
        <w:jc w:val="center"/>
        <w:rPr>
          <w:rFonts w:ascii="仿宋" w:hAnsi="仿宋" w:eastAsia="仿宋" w:cs="仿宋"/>
          <w:sz w:val="24"/>
        </w:rPr>
      </w:pPr>
    </w:p>
    <w:p>
      <w:pPr>
        <w:pStyle w:val="2"/>
        <w:adjustRightInd w:val="0"/>
        <w:snapToGrid w:val="0"/>
        <w:spacing w:line="560" w:lineRule="exact"/>
        <w:jc w:val="center"/>
        <w:rPr>
          <w:rFonts w:ascii="仿宋" w:hAnsi="仿宋" w:eastAsia="仿宋" w:cs="仿宋"/>
          <w:sz w:val="24"/>
        </w:rPr>
      </w:pPr>
      <w:r>
        <w:rPr>
          <w:rFonts w:hint="eastAsia" w:ascii="仿宋" w:hAnsi="仿宋" w:eastAsia="仿宋" w:cs="仿宋"/>
          <w:sz w:val="24"/>
        </w:rPr>
        <w:t>§1  重要提示</w:t>
      </w:r>
    </w:p>
    <w:tbl>
      <w:tblPr>
        <w:tblStyle w:val="10"/>
        <w:tblW w:w="9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1" w:hRule="atLeast"/>
        </w:trPr>
        <w:tc>
          <w:tcPr>
            <w:tcW w:w="9120" w:type="dxa"/>
            <w:tcBorders>
              <w:top w:val="single" w:color="auto" w:sz="4" w:space="0"/>
              <w:left w:val="single" w:color="auto" w:sz="4" w:space="0"/>
              <w:bottom w:val="single" w:color="auto" w:sz="4" w:space="0"/>
              <w:right w:val="single" w:color="auto" w:sz="4" w:space="0"/>
            </w:tcBorders>
          </w:tcPr>
          <w:p>
            <w:pPr>
              <w:widowControl/>
              <w:adjustRightInd w:val="0"/>
              <w:snapToGrid w:val="0"/>
              <w:spacing w:line="420" w:lineRule="exact"/>
              <w:ind w:firstLine="480" w:firstLineChars="200"/>
              <w:jc w:val="left"/>
              <w:rPr>
                <w:rFonts w:ascii="仿宋" w:hAnsi="仿宋" w:eastAsia="仿宋" w:cs="仿宋"/>
                <w:color w:val="404040"/>
                <w:kern w:val="0"/>
                <w:sz w:val="24"/>
              </w:rPr>
            </w:pPr>
            <w:r>
              <w:rPr>
                <w:rFonts w:hint="eastAsia" w:ascii="仿宋" w:hAnsi="仿宋" w:eastAsia="仿宋" w:cs="仿宋"/>
                <w:color w:val="404040"/>
                <w:kern w:val="0"/>
                <w:sz w:val="24"/>
              </w:rPr>
              <w:t>产品管理人承诺以诚实信用、勤勉尽责的原则管理和运用产品资产，并如实反映产品财务指标及投资组合情况，但不保证产品一定盈利。</w:t>
            </w:r>
          </w:p>
          <w:p>
            <w:pPr>
              <w:widowControl/>
              <w:adjustRightInd w:val="0"/>
              <w:snapToGrid w:val="0"/>
              <w:spacing w:line="420" w:lineRule="exact"/>
              <w:ind w:firstLine="480" w:firstLineChars="200"/>
              <w:jc w:val="left"/>
              <w:rPr>
                <w:rFonts w:ascii="仿宋" w:hAnsi="仿宋" w:eastAsia="仿宋" w:cs="仿宋"/>
                <w:color w:val="404040"/>
                <w:kern w:val="0"/>
                <w:sz w:val="24"/>
              </w:rPr>
            </w:pPr>
            <w:r>
              <w:rPr>
                <w:rFonts w:hint="eastAsia" w:ascii="仿宋" w:hAnsi="仿宋" w:eastAsia="仿宋" w:cs="仿宋"/>
                <w:color w:val="404040"/>
                <w:kern w:val="0"/>
                <w:sz w:val="24"/>
              </w:rPr>
              <w:t>产品托管人根据本</w:t>
            </w:r>
            <w:r>
              <w:rPr>
                <w:rFonts w:hint="eastAsia" w:ascii="仿宋" w:hAnsi="仿宋" w:eastAsia="仿宋" w:cs="仿宋"/>
                <w:color w:val="000000"/>
                <w:sz w:val="24"/>
              </w:rPr>
              <w:t>产品</w:t>
            </w:r>
            <w:r>
              <w:rPr>
                <w:rFonts w:hint="eastAsia" w:ascii="仿宋" w:hAnsi="仿宋" w:eastAsia="仿宋" w:cs="仿宋"/>
                <w:color w:val="404040"/>
                <w:kern w:val="0"/>
                <w:sz w:val="24"/>
              </w:rPr>
              <w:t>合同规定，于</w:t>
            </w:r>
            <w:r>
              <w:rPr>
                <w:rFonts w:ascii="仿宋" w:hAnsi="仿宋" w:eastAsia="仿宋" w:cs="仿宋"/>
                <w:color w:val="404040"/>
                <w:sz w:val="24"/>
              </w:rPr>
              <w:t>2023年3月31日</w:t>
            </w:r>
            <w:r>
              <w:rPr>
                <w:rFonts w:hint="eastAsia" w:ascii="仿宋" w:hAnsi="仿宋" w:eastAsia="仿宋" w:cs="仿宋"/>
                <w:color w:val="404040"/>
                <w:kern w:val="0"/>
                <w:sz w:val="24"/>
              </w:rPr>
              <w:t>复核了本报告中的财务指标、净值表现和投资组合报告等内容，保证复核内容不存在虚假记载、误导性陈述或者重大遗漏。</w:t>
            </w:r>
          </w:p>
          <w:p>
            <w:pPr>
              <w:widowControl/>
              <w:adjustRightInd w:val="0"/>
              <w:snapToGrid w:val="0"/>
              <w:spacing w:line="420" w:lineRule="exact"/>
              <w:ind w:firstLine="480" w:firstLineChars="200"/>
              <w:jc w:val="left"/>
              <w:rPr>
                <w:rFonts w:ascii="仿宋" w:hAnsi="仿宋" w:eastAsia="仿宋" w:cs="仿宋"/>
                <w:color w:val="404040"/>
                <w:kern w:val="0"/>
                <w:sz w:val="24"/>
              </w:rPr>
            </w:pPr>
            <w:r>
              <w:rPr>
                <w:rFonts w:hint="eastAsia" w:ascii="仿宋" w:hAnsi="仿宋" w:eastAsia="仿宋" w:cs="仿宋"/>
                <w:color w:val="404040"/>
                <w:kern w:val="0"/>
                <w:sz w:val="24"/>
              </w:rPr>
              <w:t>产品的过往业绩并不代表其未来表现。投资有风险，投资者在作出投资决策前应仔细阅读本</w:t>
            </w:r>
            <w:r>
              <w:rPr>
                <w:rFonts w:hint="eastAsia" w:ascii="仿宋" w:hAnsi="仿宋" w:eastAsia="仿宋" w:cs="仿宋"/>
                <w:color w:val="000000"/>
                <w:sz w:val="24"/>
              </w:rPr>
              <w:t>产品</w:t>
            </w:r>
            <w:r>
              <w:rPr>
                <w:rFonts w:hint="eastAsia" w:ascii="仿宋" w:hAnsi="仿宋" w:eastAsia="仿宋" w:cs="仿宋"/>
                <w:color w:val="404040"/>
                <w:kern w:val="0"/>
                <w:sz w:val="24"/>
              </w:rPr>
              <w:t>的产品说明书。</w:t>
            </w:r>
          </w:p>
          <w:p>
            <w:pPr>
              <w:widowControl/>
              <w:adjustRightInd w:val="0"/>
              <w:snapToGrid w:val="0"/>
              <w:spacing w:line="420" w:lineRule="exact"/>
              <w:ind w:firstLine="480" w:firstLineChars="200"/>
              <w:jc w:val="left"/>
              <w:rPr>
                <w:rFonts w:ascii="仿宋" w:hAnsi="仿宋" w:eastAsia="仿宋" w:cs="仿宋"/>
                <w:color w:val="404040"/>
                <w:kern w:val="0"/>
                <w:sz w:val="24"/>
              </w:rPr>
            </w:pPr>
            <w:r>
              <w:rPr>
                <w:rFonts w:hint="eastAsia" w:ascii="仿宋" w:hAnsi="仿宋" w:eastAsia="仿宋" w:cs="仿宋"/>
                <w:color w:val="404040"/>
                <w:kern w:val="0"/>
                <w:sz w:val="24"/>
              </w:rPr>
              <w:t>本报告中财务资料未经审计。</w:t>
            </w:r>
          </w:p>
          <w:p>
            <w:pPr>
              <w:widowControl/>
              <w:adjustRightInd w:val="0"/>
              <w:snapToGrid w:val="0"/>
              <w:spacing w:line="420" w:lineRule="exact"/>
              <w:ind w:firstLine="480" w:firstLineChars="200"/>
              <w:jc w:val="left"/>
              <w:rPr>
                <w:rFonts w:ascii="仿宋" w:hAnsi="仿宋" w:eastAsia="仿宋" w:cs="仿宋"/>
                <w:sz w:val="24"/>
              </w:rPr>
            </w:pPr>
            <w:r>
              <w:rPr>
                <w:rFonts w:hint="eastAsia" w:ascii="仿宋" w:hAnsi="仿宋" w:eastAsia="仿宋" w:cs="仿宋"/>
                <w:color w:val="404040"/>
                <w:kern w:val="0"/>
                <w:sz w:val="24"/>
              </w:rPr>
              <w:t>本报告期自</w:t>
            </w:r>
            <w:r>
              <w:rPr>
                <w:rFonts w:ascii="仿宋" w:hAnsi="仿宋" w:eastAsia="仿宋" w:cs="仿宋"/>
                <w:color w:val="404040"/>
                <w:sz w:val="24"/>
              </w:rPr>
              <w:t>2023年1月1日</w:t>
            </w:r>
            <w:r>
              <w:rPr>
                <w:rFonts w:hint="eastAsia" w:ascii="仿宋" w:hAnsi="仿宋" w:eastAsia="仿宋" w:cs="仿宋"/>
                <w:color w:val="404040"/>
                <w:kern w:val="0"/>
                <w:sz w:val="24"/>
              </w:rPr>
              <w:t>起至</w:t>
            </w:r>
            <w:r>
              <w:rPr>
                <w:rFonts w:ascii="仿宋" w:hAnsi="仿宋" w:eastAsia="仿宋" w:cs="仿宋"/>
                <w:color w:val="404040"/>
                <w:sz w:val="24"/>
              </w:rPr>
              <w:t>2023年3月31日</w:t>
            </w:r>
            <w:r>
              <w:rPr>
                <w:rFonts w:hint="eastAsia" w:ascii="仿宋" w:hAnsi="仿宋" w:eastAsia="仿宋" w:cs="仿宋"/>
                <w:color w:val="404040"/>
                <w:kern w:val="0"/>
                <w:sz w:val="24"/>
              </w:rPr>
              <w:t>止。</w:t>
            </w:r>
          </w:p>
        </w:tc>
      </w:tr>
    </w:tbl>
    <w:p>
      <w:pPr>
        <w:rPr>
          <w:rStyle w:val="14"/>
          <w:rFonts w:ascii="仿宋" w:hAnsi="仿宋" w:eastAsia="仿宋" w:cs="仿宋"/>
          <w:color w:val="0000FF"/>
          <w:sz w:val="24"/>
        </w:rPr>
      </w:pPr>
    </w:p>
    <w:p>
      <w:pPr>
        <w:pStyle w:val="2"/>
        <w:adjustRightInd w:val="0"/>
        <w:snapToGrid w:val="0"/>
        <w:spacing w:line="560" w:lineRule="exact"/>
        <w:jc w:val="center"/>
        <w:rPr>
          <w:rFonts w:ascii="仿宋" w:hAnsi="仿宋" w:eastAsia="仿宋" w:cs="仿宋"/>
          <w:sz w:val="24"/>
        </w:rPr>
      </w:pPr>
      <w:r>
        <w:rPr>
          <w:rFonts w:hint="eastAsia" w:ascii="仿宋" w:hAnsi="仿宋" w:eastAsia="仿宋" w:cs="仿宋"/>
          <w:sz w:val="24"/>
        </w:rPr>
        <w:t>§2  产品概况</w:t>
      </w:r>
    </w:p>
    <w:p>
      <w:pPr>
        <w:adjustRightInd w:val="0"/>
        <w:snapToGrid w:val="0"/>
        <w:spacing w:line="440" w:lineRule="exact"/>
        <w:outlineLvl w:val="2"/>
        <w:rPr>
          <w:rFonts w:ascii="仿宋" w:hAnsi="仿宋" w:eastAsia="仿宋" w:cs="仿宋"/>
          <w:b/>
          <w:sz w:val="24"/>
        </w:rPr>
      </w:pPr>
      <w:bookmarkStart w:id="0" w:name="_Toc354129567"/>
      <w:r>
        <w:rPr>
          <w:rFonts w:hint="eastAsia" w:ascii="仿宋" w:hAnsi="仿宋" w:eastAsia="仿宋" w:cs="仿宋"/>
          <w:b/>
          <w:sz w:val="24"/>
        </w:rPr>
        <w:t>2.1 产品基本情况</w:t>
      </w:r>
      <w:bookmarkEnd w:id="0"/>
    </w:p>
    <w:tbl>
      <w:tblPr>
        <w:tblStyle w:val="10"/>
        <w:tblW w:w="91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5"/>
        <w:gridCol w:w="5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产品名称</w:t>
            </w:r>
          </w:p>
        </w:tc>
        <w:tc>
          <w:tcPr>
            <w:tcW w:w="57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年添益2006期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产品代码</w:t>
            </w:r>
          </w:p>
        </w:tc>
        <w:tc>
          <w:tcPr>
            <w:tcW w:w="57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TYG13M2006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理财信息登记系统登记编码</w:t>
            </w:r>
          </w:p>
        </w:tc>
        <w:tc>
          <w:tcPr>
            <w:tcW w:w="57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Z7002220000021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sz w:val="24"/>
              </w:rPr>
            </w:pPr>
            <w:r>
              <w:rPr>
                <w:rFonts w:hint="eastAsia" w:ascii="仿宋" w:hAnsi="仿宋" w:eastAsia="仿宋" w:cs="仿宋"/>
                <w:kern w:val="0"/>
                <w:sz w:val="24"/>
              </w:rPr>
              <w:t>产品成立日</w:t>
            </w:r>
          </w:p>
        </w:tc>
        <w:tc>
          <w:tcPr>
            <w:tcW w:w="57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2020年11月25日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产品到期日</w:t>
            </w:r>
          </w:p>
        </w:tc>
        <w:tc>
          <w:tcPr>
            <w:tcW w:w="57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产品募集方式</w:t>
            </w:r>
          </w:p>
        </w:tc>
        <w:tc>
          <w:tcPr>
            <w:tcW w:w="57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产品运作模式</w:t>
            </w:r>
          </w:p>
        </w:tc>
        <w:tc>
          <w:tcPr>
            <w:tcW w:w="57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产品投资性质</w:t>
            </w:r>
          </w:p>
        </w:tc>
        <w:tc>
          <w:tcPr>
            <w:tcW w:w="57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业绩比较基准（%）</w:t>
            </w:r>
          </w:p>
        </w:tc>
        <w:tc>
          <w:tcPr>
            <w:tcW w:w="57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sz w:val="24"/>
              </w:rPr>
            </w:pPr>
            <w:r>
              <w:rPr>
                <w:rFonts w:hint="eastAsia" w:ascii="仿宋" w:hAnsi="仿宋" w:eastAsia="仿宋" w:cs="仿宋"/>
                <w:kern w:val="0"/>
                <w:sz w:val="24"/>
              </w:rPr>
              <w:t>报告期末产品规模（元）</w:t>
            </w:r>
          </w:p>
        </w:tc>
        <w:tc>
          <w:tcPr>
            <w:tcW w:w="57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284,766,462.02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sz w:val="24"/>
              </w:rPr>
            </w:pPr>
            <w:r>
              <w:rPr>
                <w:rFonts w:hint="eastAsia" w:ascii="仿宋" w:hAnsi="仿宋" w:eastAsia="仿宋" w:cs="仿宋"/>
                <w:kern w:val="0"/>
                <w:sz w:val="24"/>
              </w:rPr>
              <w:t>杠杆水平（%）</w:t>
            </w:r>
          </w:p>
        </w:tc>
        <w:tc>
          <w:tcPr>
            <w:tcW w:w="57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119.66%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风险等级</w:t>
            </w:r>
          </w:p>
        </w:tc>
        <w:tc>
          <w:tcPr>
            <w:tcW w:w="57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sz w:val="24"/>
              </w:rPr>
            </w:pPr>
            <w:r>
              <w:rPr>
                <w:rFonts w:hint="eastAsia" w:ascii="仿宋" w:hAnsi="仿宋" w:eastAsia="仿宋" w:cs="仿宋"/>
                <w:kern w:val="0"/>
                <w:sz w:val="24"/>
              </w:rPr>
              <w:t>产品管理人</w:t>
            </w:r>
          </w:p>
        </w:tc>
        <w:tc>
          <w:tcPr>
            <w:tcW w:w="57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杭银理财有限责任公司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sz w:val="24"/>
              </w:rPr>
            </w:pPr>
            <w:r>
              <w:rPr>
                <w:rFonts w:hint="eastAsia" w:ascii="仿宋" w:hAnsi="仿宋" w:eastAsia="仿宋" w:cs="仿宋"/>
                <w:kern w:val="0"/>
                <w:sz w:val="24"/>
              </w:rPr>
              <w:t>产品托管人</w:t>
            </w:r>
          </w:p>
        </w:tc>
        <w:tc>
          <w:tcPr>
            <w:tcW w:w="57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杭州银行股份有限公司</w:t>
            </w:r>
          </w:p>
        </w:tc>
      </w:tr>
    </w:tbl>
    <w:p>
      <w:pPr>
        <w:adjustRightInd w:val="0"/>
        <w:snapToGrid w:val="0"/>
        <w:spacing w:line="360" w:lineRule="exact"/>
        <w:rPr>
          <w:rFonts w:ascii="仿宋" w:hAnsi="仿宋" w:eastAsia="仿宋" w:cs="仿宋"/>
          <w:sz w:val="24"/>
        </w:rPr>
      </w:pPr>
      <w:r>
        <w:rPr>
          <w:rFonts w:hint="eastAsia" w:ascii="仿宋" w:hAnsi="仿宋" w:eastAsia="仿宋" w:cs="仿宋"/>
          <w:sz w:val="24"/>
        </w:rPr>
        <w:t>*杠杆水平=总资产/理财产品净资产，理财产品净资产=总资产-总负债</w:t>
      </w:r>
    </w:p>
    <w:p>
      <w:pPr>
        <w:adjustRightInd w:val="0"/>
        <w:snapToGrid w:val="0"/>
        <w:spacing w:line="360" w:lineRule="exact"/>
        <w:rPr>
          <w:rFonts w:ascii="仿宋" w:hAnsi="仿宋" w:eastAsia="仿宋" w:cs="仿宋"/>
          <w:color w:val="000000"/>
          <w:sz w:val="24"/>
        </w:rPr>
      </w:pPr>
    </w:p>
    <w:p>
      <w:pPr>
        <w:pStyle w:val="2"/>
        <w:adjustRightInd w:val="0"/>
        <w:snapToGrid w:val="0"/>
        <w:spacing w:line="560" w:lineRule="exact"/>
        <w:jc w:val="center"/>
        <w:rPr>
          <w:rFonts w:ascii="仿宋" w:hAnsi="仿宋" w:eastAsia="仿宋" w:cs="仿宋"/>
          <w:sz w:val="24"/>
        </w:rPr>
      </w:pPr>
      <w:r>
        <w:rPr>
          <w:rFonts w:hint="eastAsia" w:ascii="仿宋" w:hAnsi="仿宋" w:eastAsia="仿宋" w:cs="仿宋"/>
          <w:sz w:val="24"/>
        </w:rPr>
        <w:t>§3  主要财务指标和产品净值表现</w:t>
      </w:r>
    </w:p>
    <w:p>
      <w:pPr>
        <w:adjustRightInd w:val="0"/>
        <w:snapToGrid w:val="0"/>
        <w:spacing w:line="440" w:lineRule="exact"/>
        <w:outlineLvl w:val="2"/>
        <w:rPr>
          <w:rFonts w:ascii="仿宋" w:hAnsi="仿宋" w:eastAsia="仿宋" w:cs="仿宋"/>
          <w:b/>
          <w:sz w:val="24"/>
        </w:rPr>
      </w:pPr>
      <w:r>
        <w:rPr>
          <w:rFonts w:hint="eastAsia" w:ascii="仿宋" w:hAnsi="仿宋" w:eastAsia="仿宋" w:cs="仿宋"/>
          <w:b/>
          <w:sz w:val="24"/>
        </w:rPr>
        <w:t>3.1 主要财务指标和产品净值表现</w:t>
      </w:r>
    </w:p>
    <w:p>
      <w:pPr>
        <w:adjustRightInd w:val="0"/>
        <w:snapToGrid w:val="0"/>
        <w:spacing w:line="440" w:lineRule="exact"/>
        <w:jc w:val="right"/>
        <w:rPr>
          <w:rFonts w:ascii="仿宋" w:hAnsi="仿宋" w:eastAsia="仿宋" w:cs="仿宋"/>
          <w:sz w:val="24"/>
        </w:rPr>
      </w:pPr>
      <w:r>
        <w:rPr>
          <w:rFonts w:hint="eastAsia" w:ascii="仿宋" w:hAnsi="仿宋" w:eastAsia="仿宋" w:cs="仿宋"/>
          <w:sz w:val="24"/>
        </w:rPr>
        <w:t>单位：元、份、元/份</w:t>
      </w:r>
    </w:p>
    <w:tbl>
      <w:tblPr>
        <w:tblStyle w:val="10"/>
        <w:tblW w:w="91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418"/>
        <w:gridCol w:w="585"/>
        <w:gridCol w:w="407"/>
        <w:gridCol w:w="992"/>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4408"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color w:val="000000"/>
                <w:kern w:val="0"/>
                <w:sz w:val="24"/>
              </w:rPr>
            </w:pPr>
            <w:r>
              <w:rPr>
                <w:rFonts w:hint="eastAsia" w:ascii="仿宋" w:hAnsi="仿宋" w:eastAsia="仿宋" w:cs="仿宋"/>
                <w:sz w:val="24"/>
              </w:rPr>
              <w:t>主要财务指标</w:t>
            </w:r>
          </w:p>
        </w:tc>
        <w:tc>
          <w:tcPr>
            <w:tcW w:w="472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color w:val="000000"/>
                <w:kern w:val="0"/>
                <w:sz w:val="24"/>
              </w:rPr>
            </w:pPr>
            <w:r>
              <w:rPr>
                <w:rFonts w:hint="eastAsia" w:ascii="仿宋" w:hAnsi="仿宋" w:eastAsia="仿宋" w:cs="仿宋"/>
                <w:color w:val="000000"/>
                <w:kern w:val="0"/>
                <w:sz w:val="24"/>
              </w:rPr>
              <w:t>报告期</w:t>
            </w:r>
          </w:p>
          <w:p>
            <w:pPr>
              <w:widowControl/>
              <w:adjustRightInd w:val="0"/>
              <w:snapToGrid w:val="0"/>
              <w:jc w:val="center"/>
              <w:rPr>
                <w:rFonts w:ascii="仿宋" w:hAnsi="仿宋" w:eastAsia="仿宋" w:cs="仿宋"/>
                <w:color w:val="000000"/>
                <w:kern w:val="0"/>
                <w:sz w:val="24"/>
              </w:rPr>
            </w:pPr>
            <w:r>
              <w:rPr>
                <w:rFonts w:hint="eastAsia" w:ascii="仿宋" w:hAnsi="仿宋" w:eastAsia="仿宋" w:cs="仿宋"/>
                <w:color w:val="000000"/>
                <w:kern w:val="0"/>
                <w:sz w:val="24"/>
              </w:rPr>
              <w:t>（</w:t>
            </w:r>
            <w:r>
              <w:rPr>
                <w:rFonts w:ascii="仿宋" w:hAnsi="仿宋" w:eastAsia="仿宋" w:cs="仿宋"/>
                <w:color w:val="000000"/>
                <w:sz w:val="24"/>
              </w:rPr>
              <w:t>2023年1月1日</w:t>
            </w:r>
            <w:r>
              <w:rPr>
                <w:rFonts w:hint="eastAsia" w:ascii="仿宋" w:hAnsi="仿宋" w:eastAsia="仿宋" w:cs="仿宋"/>
                <w:color w:val="000000"/>
                <w:kern w:val="0"/>
                <w:sz w:val="24"/>
              </w:rPr>
              <w:t>-</w:t>
            </w:r>
            <w:r>
              <w:rPr>
                <w:rFonts w:ascii="仿宋" w:hAnsi="仿宋" w:eastAsia="仿宋" w:cs="仿宋"/>
                <w:color w:val="000000"/>
                <w:sz w:val="24"/>
              </w:rPr>
              <w:t>2023年3月31日</w:t>
            </w:r>
            <w:r>
              <w:rPr>
                <w:rFonts w:hint="eastAsia" w:ascii="仿宋" w:hAnsi="仿宋" w:eastAsia="仿宋" w:cs="仿宋"/>
                <w:color w:val="000000"/>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4408"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Style w:val="14"/>
                <w:rFonts w:ascii="仿宋" w:hAnsi="仿宋" w:eastAsia="仿宋" w:cs="仿宋"/>
                <w:sz w:val="24"/>
              </w:rPr>
            </w:pPr>
            <w:r>
              <w:rPr>
                <w:rFonts w:hint="eastAsia" w:ascii="仿宋" w:hAnsi="仿宋" w:eastAsia="仿宋" w:cs="仿宋"/>
                <w:sz w:val="24"/>
              </w:rPr>
              <w:t>1.期末产品资产净值</w:t>
            </w:r>
          </w:p>
        </w:tc>
        <w:tc>
          <w:tcPr>
            <w:tcW w:w="472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right"/>
              <w:rPr>
                <w:rFonts w:ascii="仿宋" w:hAnsi="仿宋" w:eastAsia="仿宋" w:cs="仿宋"/>
                <w:sz w:val="24"/>
              </w:rPr>
            </w:pPr>
            <w:r>
              <w:rPr>
                <w:rFonts w:hint="eastAsia" w:ascii="仿宋" w:hAnsi="仿宋" w:eastAsia="仿宋" w:cs="仿宋"/>
                <w:kern w:val="0"/>
                <w:sz w:val="24"/>
              </w:rPr>
              <w:t>284,766,462.02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4408"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ascii="仿宋" w:hAnsi="仿宋" w:eastAsia="仿宋" w:cs="仿宋"/>
                <w:sz w:val="24"/>
              </w:rPr>
            </w:pPr>
            <w:r>
              <w:rPr>
                <w:rFonts w:hint="eastAsia" w:ascii="仿宋" w:hAnsi="仿宋" w:eastAsia="仿宋" w:cs="仿宋"/>
                <w:sz w:val="24"/>
              </w:rPr>
              <w:t>2.期末产品总份额</w:t>
            </w:r>
          </w:p>
        </w:tc>
        <w:tc>
          <w:tcPr>
            <w:tcW w:w="472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right"/>
              <w:rPr>
                <w:rFonts w:ascii="仿宋" w:hAnsi="仿宋" w:eastAsia="仿宋" w:cs="仿宋"/>
                <w:kern w:val="0"/>
                <w:sz w:val="24"/>
              </w:rPr>
            </w:pPr>
            <w:r>
              <w:rPr>
                <w:rFonts w:hint="eastAsia" w:ascii="仿宋" w:hAnsi="仿宋" w:eastAsia="仿宋" w:cs="仿宋"/>
                <w:kern w:val="0"/>
                <w:sz w:val="24"/>
              </w:rPr>
              <w:t>258,524,399.35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4408"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Style w:val="14"/>
                <w:rFonts w:ascii="仿宋" w:hAnsi="仿宋" w:eastAsia="仿宋" w:cs="仿宋"/>
                <w:sz w:val="24"/>
              </w:rPr>
            </w:pPr>
            <w:r>
              <w:rPr>
                <w:rFonts w:hint="eastAsia" w:ascii="仿宋" w:hAnsi="仿宋" w:eastAsia="仿宋" w:cs="仿宋"/>
                <w:sz w:val="24"/>
              </w:rPr>
              <w:t>3.期末产品份额单位净值</w:t>
            </w:r>
          </w:p>
        </w:tc>
        <w:tc>
          <w:tcPr>
            <w:tcW w:w="472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right"/>
              <w:rPr>
                <w:rFonts w:ascii="仿宋" w:hAnsi="仿宋" w:eastAsia="仿宋" w:cs="仿宋"/>
                <w:sz w:val="24"/>
              </w:rPr>
            </w:pPr>
            <w:r>
              <w:rPr>
                <w:rFonts w:hint="eastAsia" w:ascii="仿宋" w:hAnsi="仿宋" w:eastAsia="仿宋" w:cs="仿宋"/>
                <w:kern w:val="0"/>
                <w:sz w:val="24"/>
              </w:rPr>
              <w:t>1.1015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4408"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Style w:val="14"/>
                <w:rFonts w:ascii="仿宋" w:hAnsi="仿宋" w:eastAsia="仿宋" w:cs="仿宋"/>
                <w:sz w:val="24"/>
              </w:rPr>
            </w:pPr>
            <w:r>
              <w:rPr>
                <w:rFonts w:hint="eastAsia" w:ascii="仿宋" w:hAnsi="仿宋" w:eastAsia="仿宋" w:cs="仿宋"/>
                <w:sz w:val="24"/>
              </w:rPr>
              <w:t>4.期末产品份额累计净值</w:t>
            </w:r>
          </w:p>
        </w:tc>
        <w:tc>
          <w:tcPr>
            <w:tcW w:w="472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right"/>
              <w:rPr>
                <w:rFonts w:ascii="仿宋" w:hAnsi="仿宋" w:eastAsia="仿宋" w:cs="仿宋"/>
                <w:sz w:val="24"/>
              </w:rPr>
            </w:pPr>
            <w:r>
              <w:rPr>
                <w:rFonts w:hint="eastAsia" w:ascii="仿宋" w:hAnsi="仿宋" w:eastAsia="仿宋" w:cs="仿宋"/>
                <w:kern w:val="0"/>
                <w:sz w:val="24"/>
              </w:rPr>
              <w:t>1.1015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9128" w:type="dxa"/>
            <w:gridSpan w:val="6"/>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color w:val="0000FF"/>
                <w:sz w:val="24"/>
              </w:rPr>
            </w:pPr>
            <w:r>
              <w:rPr>
                <w:rFonts w:hint="eastAsia" w:ascii="仿宋" w:hAnsi="仿宋" w:eastAsia="仿宋" w:cs="仿宋"/>
                <w:kern w:val="0"/>
                <w:sz w:val="24"/>
              </w:rPr>
              <w:t>报告期末下属子产品相关信息披露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405" w:type="dxa"/>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子产品名称</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子产品代码</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份额</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净值</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份额累计净值</w:t>
            </w:r>
          </w:p>
        </w:tc>
        <w:tc>
          <w:tcPr>
            <w:tcW w:w="332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资产净值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405" w:type="dxa"/>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年添益2006期</w:t>
            </w:r>
          </w:p>
        </w:tc>
        <w:tc>
          <w:tcPr>
            <w:tcW w:w="1418" w:type="dxa"/>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TYG13M2006</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1.1014</w:t>
            </w:r>
          </w:p>
        </w:tc>
        <w:tc>
          <w:tcPr>
            <w:tcW w:w="992" w:type="dxa"/>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1.1014</w:t>
            </w:r>
          </w:p>
        </w:tc>
        <w:tc>
          <w:tcPr>
            <w:tcW w:w="3321" w:type="dxa"/>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236,880,521.57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405" w:type="dxa"/>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年添益2006期B款</w:t>
            </w:r>
          </w:p>
        </w:tc>
        <w:tc>
          <w:tcPr>
            <w:tcW w:w="1418" w:type="dxa"/>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TYG13M2006B</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1.1017</w:t>
            </w:r>
          </w:p>
        </w:tc>
        <w:tc>
          <w:tcPr>
            <w:tcW w:w="992" w:type="dxa"/>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1.1017</w:t>
            </w:r>
          </w:p>
        </w:tc>
        <w:tc>
          <w:tcPr>
            <w:tcW w:w="3321" w:type="dxa"/>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47,885,940.45</w:t>
            </w:r>
          </w:p>
        </w:tc>
      </w:tr>
    </w:tbl>
    <w:p>
      <w:pPr>
        <w:adjustRightInd w:val="0"/>
        <w:snapToGrid w:val="0"/>
        <w:spacing w:line="440" w:lineRule="exact"/>
        <w:outlineLvl w:val="2"/>
        <w:rPr>
          <w:rFonts w:ascii="仿宋" w:hAnsi="仿宋" w:eastAsia="仿宋" w:cs="仿宋"/>
          <w:b/>
          <w:sz w:val="24"/>
        </w:rPr>
      </w:pPr>
      <w:r>
        <w:rPr>
          <w:rFonts w:hint="eastAsia" w:ascii="仿宋" w:hAnsi="仿宋" w:eastAsia="仿宋" w:cs="仿宋"/>
          <w:b/>
          <w:sz w:val="24"/>
        </w:rPr>
        <w:t>3.</w:t>
      </w:r>
      <w:r>
        <w:rPr>
          <w:rFonts w:ascii="仿宋" w:hAnsi="仿宋" w:eastAsia="仿宋" w:cs="仿宋"/>
          <w:b/>
          <w:sz w:val="24"/>
        </w:rPr>
        <w:t>2</w:t>
      </w:r>
      <w:r>
        <w:rPr>
          <w:rFonts w:hint="eastAsia" w:ascii="仿宋" w:hAnsi="仿宋" w:eastAsia="仿宋" w:cs="仿宋"/>
          <w:b/>
          <w:sz w:val="24"/>
        </w:rPr>
        <w:t xml:space="preserve"> 产品收益表现</w:t>
      </w:r>
    </w:p>
    <w:tbl>
      <w:tblPr>
        <w:tblStyle w:val="10"/>
        <w:tblW w:w="91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7"/>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80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color w:val="000000"/>
                <w:kern w:val="0"/>
                <w:sz w:val="24"/>
              </w:rPr>
            </w:pPr>
            <w:r>
              <w:rPr>
                <w:rFonts w:hint="eastAsia" w:ascii="仿宋" w:hAnsi="仿宋" w:eastAsia="仿宋" w:cs="仿宋"/>
                <w:color w:val="000000"/>
                <w:kern w:val="0"/>
                <w:sz w:val="24"/>
              </w:rPr>
              <w:t>产品名称</w:t>
            </w:r>
          </w:p>
        </w:tc>
        <w:tc>
          <w:tcPr>
            <w:tcW w:w="332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color w:val="000000"/>
                <w:kern w:val="0"/>
                <w:sz w:val="24"/>
              </w:rPr>
            </w:pPr>
            <w:r>
              <w:rPr>
                <w:rFonts w:hint="eastAsia" w:ascii="仿宋" w:hAnsi="仿宋" w:eastAsia="仿宋" w:cs="仿宋"/>
                <w:color w:val="000000"/>
                <w:kern w:val="0"/>
                <w:sz w:val="24"/>
              </w:rPr>
              <w:t>成立以来年化收益率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80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Style w:val="14"/>
                <w:rFonts w:ascii="仿宋" w:hAnsi="仿宋" w:eastAsia="仿宋" w:cs="仿宋"/>
                <w:sz w:val="24"/>
              </w:rPr>
            </w:pPr>
            <w:r>
              <w:rPr>
                <w:rStyle w:val="14"/>
                <w:rFonts w:hint="eastAsia" w:ascii="仿宋" w:hAnsi="仿宋" w:eastAsia="仿宋" w:cs="仿宋"/>
                <w:sz w:val="24"/>
              </w:rPr>
              <w:t>年添益2006期</w:t>
            </w:r>
          </w:p>
        </w:tc>
        <w:tc>
          <w:tcPr>
            <w:tcW w:w="332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sz w:val="24"/>
              </w:rPr>
            </w:pPr>
            <w:r>
              <w:rPr>
                <w:rFonts w:hint="eastAsia" w:ascii="仿宋" w:hAnsi="仿宋" w:eastAsia="仿宋" w:cs="仿宋"/>
                <w:sz w:val="24"/>
              </w:rPr>
              <w:t>4.32</w:t>
            </w:r>
            <w:r>
              <w:rPr>
                <w:rFonts w:ascii="仿宋" w:hAnsi="仿宋" w:eastAsia="仿宋" w:cs="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80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Style w:val="14"/>
                <w:rFonts w:ascii="仿宋" w:hAnsi="仿宋" w:eastAsia="仿宋" w:cs="仿宋"/>
                <w:sz w:val="24"/>
              </w:rPr>
            </w:pPr>
            <w:r>
              <w:rPr>
                <w:rStyle w:val="14"/>
                <w:rFonts w:hint="eastAsia" w:ascii="仿宋" w:hAnsi="仿宋" w:eastAsia="仿宋" w:cs="仿宋"/>
                <w:sz w:val="24"/>
              </w:rPr>
              <w:t>年添益2006期B款</w:t>
            </w:r>
          </w:p>
        </w:tc>
        <w:tc>
          <w:tcPr>
            <w:tcW w:w="332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sz w:val="24"/>
              </w:rPr>
            </w:pPr>
            <w:r>
              <w:rPr>
                <w:rFonts w:hint="eastAsia" w:ascii="仿宋" w:hAnsi="仿宋" w:eastAsia="仿宋" w:cs="仿宋"/>
                <w:sz w:val="24"/>
              </w:rPr>
              <w:t>4.33</w:t>
            </w:r>
            <w:r>
              <w:rPr>
                <w:rFonts w:ascii="仿宋" w:hAnsi="仿宋" w:eastAsia="仿宋" w:cs="仿宋"/>
                <w:sz w:val="24"/>
              </w:rPr>
              <w:t>%</w:t>
            </w:r>
          </w:p>
        </w:tc>
      </w:tr>
    </w:tbl>
    <w:p>
      <w:pPr>
        <w:adjustRightInd w:val="0"/>
        <w:snapToGrid w:val="0"/>
        <w:rPr>
          <w:rFonts w:hint="eastAsia" w:ascii="仿宋" w:hAnsi="仿宋" w:eastAsia="仿宋" w:cs="仿宋"/>
          <w:color w:val="404040"/>
          <w:kern w:val="0"/>
          <w:sz w:val="24"/>
        </w:rPr>
      </w:pPr>
      <w:bookmarkStart w:id="2" w:name="_GoBack"/>
      <w:bookmarkEnd w:id="2"/>
    </w:p>
    <w:p>
      <w:pPr>
        <w:pStyle w:val="2"/>
        <w:adjustRightInd w:val="0"/>
        <w:snapToGrid w:val="0"/>
        <w:spacing w:line="560" w:lineRule="exact"/>
        <w:jc w:val="center"/>
        <w:rPr>
          <w:rFonts w:ascii="仿宋" w:hAnsi="仿宋" w:eastAsia="仿宋" w:cs="仿宋"/>
          <w:sz w:val="24"/>
        </w:rPr>
      </w:pPr>
      <w:r>
        <w:rPr>
          <w:rFonts w:hint="eastAsia" w:ascii="仿宋" w:hAnsi="仿宋" w:eastAsia="仿宋" w:cs="仿宋"/>
          <w:sz w:val="24"/>
        </w:rPr>
        <w:t>§4  投资组合报告</w:t>
      </w:r>
    </w:p>
    <w:p>
      <w:pPr>
        <w:adjustRightInd w:val="0"/>
        <w:snapToGrid w:val="0"/>
        <w:spacing w:line="440" w:lineRule="exact"/>
        <w:outlineLvl w:val="2"/>
        <w:rPr>
          <w:rFonts w:ascii="仿宋" w:hAnsi="仿宋" w:eastAsia="仿宋" w:cs="仿宋"/>
          <w:b/>
          <w:sz w:val="24"/>
        </w:rPr>
      </w:pPr>
      <w:r>
        <w:rPr>
          <w:rFonts w:hint="eastAsia" w:ascii="仿宋" w:hAnsi="仿宋" w:eastAsia="仿宋" w:cs="仿宋"/>
          <w:b/>
          <w:sz w:val="24"/>
        </w:rPr>
        <w:t>4.1 报告期内产品投资策略回顾</w:t>
      </w:r>
    </w:p>
    <w:p>
      <w:pPr>
        <w:adjustRightInd w:val="0"/>
        <w:snapToGrid w:val="0"/>
        <w:spacing w:line="420" w:lineRule="exact"/>
        <w:ind w:firstLine="480" w:firstLineChars="200"/>
        <w:rPr>
          <w:rFonts w:ascii="仿宋" w:hAnsi="仿宋" w:eastAsia="仿宋" w:cs="仿宋"/>
          <w:sz w:val="24"/>
        </w:rPr>
      </w:pPr>
      <w:r>
        <w:rPr>
          <w:rFonts w:hint="eastAsia" w:ascii="仿宋" w:hAnsi="仿宋" w:eastAsia="仿宋" w:cs="仿宋"/>
          <w:sz w:val="24"/>
        </w:rPr>
        <w:t>本产品主要投资于固收类资产，1月初疫后初开的情况下，债券收益有所反弹，随着摊余估值理财产品的发行、银行理财赎回负反馈逐步减弱。进入3月后，高频指标显示1-2月经济复苏程度不及预期，债券收益率小幅下行。整体看，一季度债券市场有所下行，信用债得益于利差压缩的优势，下行幅度大幅强于利率债。本产品债券策略上主要选择发达地区的城投债作为主要投资标的，并择机参与利率债波段交易增厚产品收益。</w:t>
      </w:r>
    </w:p>
    <w:p>
      <w:pPr>
        <w:adjustRightInd w:val="0"/>
        <w:snapToGrid w:val="0"/>
        <w:spacing w:line="440" w:lineRule="exact"/>
        <w:outlineLvl w:val="2"/>
        <w:rPr>
          <w:rFonts w:ascii="仿宋" w:hAnsi="仿宋" w:eastAsia="仿宋" w:cs="仿宋"/>
          <w:b/>
          <w:sz w:val="24"/>
        </w:rPr>
      </w:pPr>
      <w:r>
        <w:rPr>
          <w:rFonts w:hint="eastAsia" w:ascii="仿宋" w:hAnsi="仿宋" w:eastAsia="仿宋" w:cs="仿宋"/>
          <w:b/>
          <w:sz w:val="24"/>
        </w:rPr>
        <w:t>4.2产品未来展望</w:t>
      </w:r>
    </w:p>
    <w:p>
      <w:pPr>
        <w:adjustRightInd w:val="0"/>
        <w:snapToGrid w:val="0"/>
        <w:spacing w:line="420" w:lineRule="exact"/>
        <w:ind w:firstLine="480" w:firstLineChars="200"/>
        <w:rPr>
          <w:rFonts w:ascii="仿宋" w:hAnsi="仿宋" w:eastAsia="仿宋" w:cs="仿宋"/>
          <w:sz w:val="24"/>
        </w:rPr>
      </w:pPr>
      <w:r>
        <w:rPr>
          <w:rFonts w:hint="eastAsia" w:ascii="仿宋" w:hAnsi="仿宋" w:eastAsia="仿宋" w:cs="仿宋"/>
          <w:sz w:val="24"/>
        </w:rPr>
        <w:t>展望2023年2季度，经济进入低基数阶段、经济指标读数料将大幅反弹，总量指标的意义会有所弱化，市场对于经济复苏的质量更为关注。基建端，在国债和地方债发行前置的的资金支持下，有望继续保持强势增长；制造业投资和进出口由于海外逐步进入衰退周期，已体现出较为疲弱的走势；房地产投资整体看竣工端在保交付及放松限购的政策支持下，3月恢复程度较好，但四月后前瞻指标有所下滑，趋势上在政策加持下有走好的趋势，是2季度值得重点关注的方面；消费方面，交通物流已脱离了疫情的影响，回归内生增长性，疫后红利期将于2季度结束，消费内生增长的质量将逐步显现。从债券收益率的角度看，短端利率在央行完全控制之下、难以形成趋势性的下行和上行，2年以内的信用利差已被压缩回历史较低水平，信用债进入票息行情中，是提升组合流动性的较好阶段，杠杆收益和骑乘收益是相对更优的投资策略。</w:t>
      </w:r>
    </w:p>
    <w:p>
      <w:pPr>
        <w:adjustRightInd w:val="0"/>
        <w:snapToGrid w:val="0"/>
        <w:spacing w:line="440" w:lineRule="exact"/>
        <w:outlineLvl w:val="2"/>
        <w:rPr>
          <w:rFonts w:ascii="仿宋" w:hAnsi="仿宋" w:eastAsia="仿宋" w:cs="仿宋"/>
          <w:b/>
          <w:sz w:val="24"/>
        </w:rPr>
      </w:pPr>
      <w:r>
        <w:rPr>
          <w:rFonts w:hint="eastAsia" w:ascii="仿宋" w:hAnsi="仿宋" w:eastAsia="仿宋" w:cs="仿宋"/>
          <w:b/>
          <w:sz w:val="24"/>
        </w:rPr>
        <w:t>4.3投资组合的流动性风险分析</w:t>
      </w:r>
    </w:p>
    <w:p>
      <w:pPr>
        <w:adjustRightInd w:val="0"/>
        <w:snapToGrid w:val="0"/>
        <w:spacing w:line="420" w:lineRule="exact"/>
        <w:ind w:firstLine="480" w:firstLineChars="200"/>
        <w:rPr>
          <w:rFonts w:ascii="仿宋" w:hAnsi="仿宋" w:eastAsia="仿宋" w:cs="仿宋"/>
          <w:sz w:val="24"/>
        </w:rPr>
      </w:pPr>
      <w:r>
        <w:rPr>
          <w:rFonts w:hint="eastAsia" w:ascii="仿宋" w:hAnsi="仿宋" w:eastAsia="仿宋" w:cs="仿宋"/>
          <w:sz w:val="24"/>
        </w:rPr>
        <w:t>流动性风险是指理财产品无法通过变现资产等途径以合理成本及时获得充足资金，用于满足该理财产品的投资者赎回需求、履行其他支付义务的风险。本产品主要直接或者间接投资于债券类资产及权益类资产。产品所投资的债券资产流动性状况良好，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的匹配。</w:t>
      </w:r>
      <w:r>
        <w:rPr>
          <w:rFonts w:hint="eastAsia" w:ascii="仿宋" w:hAnsi="仿宋" w:eastAsia="仿宋" w:cs="仿宋"/>
          <w:sz w:val="24"/>
        </w:rPr>
        <w:cr/>
      </w:r>
      <w:r>
        <w:rPr>
          <w:rFonts w:hint="eastAsia" w:ascii="仿宋" w:hAnsi="仿宋" w:eastAsia="仿宋" w:cs="仿宋"/>
          <w:sz w:val="24"/>
        </w:rPr>
        <w:t>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pPr>
        <w:adjustRightInd w:val="0"/>
        <w:snapToGrid w:val="0"/>
        <w:spacing w:line="440" w:lineRule="exact"/>
        <w:outlineLvl w:val="2"/>
        <w:rPr>
          <w:rFonts w:ascii="仿宋" w:hAnsi="仿宋" w:eastAsia="仿宋" w:cs="仿宋"/>
          <w:b/>
          <w:sz w:val="24"/>
        </w:rPr>
      </w:pPr>
      <w:r>
        <w:rPr>
          <w:rFonts w:hint="eastAsia" w:ascii="仿宋" w:hAnsi="仿宋" w:eastAsia="仿宋" w:cs="仿宋"/>
          <w:b/>
          <w:sz w:val="24"/>
        </w:rPr>
        <w:t>4.4 报告期末穿透前投资组合分类</w:t>
      </w:r>
    </w:p>
    <w:tbl>
      <w:tblPr>
        <w:tblStyle w:val="10"/>
        <w:tblW w:w="9019" w:type="dxa"/>
        <w:tblInd w:w="-5" w:type="dxa"/>
        <w:tblLayout w:type="fixed"/>
        <w:tblCellMar>
          <w:top w:w="0" w:type="dxa"/>
          <w:left w:w="0" w:type="dxa"/>
          <w:bottom w:w="0" w:type="dxa"/>
          <w:right w:w="0" w:type="dxa"/>
        </w:tblCellMar>
      </w:tblPr>
      <w:tblGrid>
        <w:gridCol w:w="572"/>
        <w:gridCol w:w="5614"/>
        <w:gridCol w:w="2833"/>
      </w:tblGrid>
      <w:tr>
        <w:tblPrEx>
          <w:tblLayout w:type="fixed"/>
          <w:tblCellMar>
            <w:top w:w="0" w:type="dxa"/>
            <w:left w:w="0" w:type="dxa"/>
            <w:bottom w:w="0" w:type="dxa"/>
            <w:right w:w="0" w:type="dxa"/>
          </w:tblCellMar>
        </w:tblPrEx>
        <w:trPr>
          <w:trHeight w:val="415"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序号</w:t>
            </w:r>
          </w:p>
        </w:tc>
        <w:tc>
          <w:tcPr>
            <w:tcW w:w="5614" w:type="dxa"/>
            <w:tcBorders>
              <w:top w:val="single" w:color="auto" w:sz="4" w:space="0"/>
              <w:left w:val="nil"/>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项目</w:t>
            </w:r>
          </w:p>
        </w:tc>
        <w:tc>
          <w:tcPr>
            <w:tcW w:w="2833" w:type="dxa"/>
            <w:tcBorders>
              <w:top w:val="single" w:color="auto" w:sz="4" w:space="0"/>
              <w:left w:val="nil"/>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期末占总资产比例（％）</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1</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现金及银行存款</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0.41%</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2</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同业存单</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3</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拆放同业及债券买入返售</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4</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债券</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96.13%</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5</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非标准化债权类资产</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6</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权益类投资</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7</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金融衍生品</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8</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代客境外理财投资QDII</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9</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商品类资产</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10</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另类资产</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11</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公募基金</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1.09%</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12</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私募基金</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13</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资产管理产品</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2.38%</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14</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委外投资——协议方式</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15</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合计</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100.00%</w:t>
            </w:r>
          </w:p>
        </w:tc>
      </w:tr>
    </w:tbl>
    <w:p>
      <w:pPr>
        <w:adjustRightInd w:val="0"/>
        <w:snapToGrid w:val="0"/>
        <w:spacing w:line="440" w:lineRule="exact"/>
        <w:outlineLvl w:val="2"/>
        <w:rPr>
          <w:rFonts w:ascii="仿宋" w:hAnsi="仿宋" w:eastAsia="仿宋" w:cs="仿宋"/>
          <w:b/>
          <w:sz w:val="24"/>
        </w:rPr>
      </w:pPr>
      <w:r>
        <w:rPr>
          <w:rFonts w:hint="eastAsia" w:ascii="仿宋" w:hAnsi="仿宋" w:eastAsia="仿宋" w:cs="仿宋"/>
          <w:b/>
          <w:sz w:val="24"/>
        </w:rPr>
        <w:t>4.5 报告期末穿透后投资组合分类</w:t>
      </w:r>
    </w:p>
    <w:tbl>
      <w:tblPr>
        <w:tblStyle w:val="10"/>
        <w:tblW w:w="9019" w:type="dxa"/>
        <w:tblInd w:w="-5" w:type="dxa"/>
        <w:tblLayout w:type="fixed"/>
        <w:tblCellMar>
          <w:top w:w="0" w:type="dxa"/>
          <w:left w:w="0" w:type="dxa"/>
          <w:bottom w:w="0" w:type="dxa"/>
          <w:right w:w="0" w:type="dxa"/>
        </w:tblCellMar>
      </w:tblPr>
      <w:tblGrid>
        <w:gridCol w:w="572"/>
        <w:gridCol w:w="5647"/>
        <w:gridCol w:w="2800"/>
      </w:tblGrid>
      <w:tr>
        <w:tblPrEx>
          <w:tblLayout w:type="fixed"/>
          <w:tblCellMar>
            <w:top w:w="0" w:type="dxa"/>
            <w:left w:w="0" w:type="dxa"/>
            <w:bottom w:w="0" w:type="dxa"/>
            <w:right w:w="0" w:type="dxa"/>
          </w:tblCellMar>
        </w:tblPrEx>
        <w:trPr>
          <w:trHeight w:val="415" w:hRule="atLeast"/>
        </w:trPr>
        <w:tc>
          <w:tcPr>
            <w:tcW w:w="57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序号</w:t>
            </w:r>
          </w:p>
        </w:tc>
        <w:tc>
          <w:tcPr>
            <w:tcW w:w="5647"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highlight w:val="yellow"/>
              </w:rPr>
            </w:pPr>
            <w:r>
              <w:rPr>
                <w:rFonts w:hint="eastAsia" w:ascii="仿宋" w:hAnsi="仿宋" w:eastAsia="仿宋" w:cs="仿宋"/>
                <w:sz w:val="24"/>
              </w:rPr>
              <w:t>项目</w:t>
            </w:r>
          </w:p>
        </w:tc>
        <w:tc>
          <w:tcPr>
            <w:tcW w:w="2800"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期末占总资产比例（％）</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1</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现金及银行存款</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0.78%</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2</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同业存单</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0.19%</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3</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拆放同业及债券买入返售</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0.13%</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4</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债券</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96.13%</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5</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非标准化债权类资产</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6</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权益类投资</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0.25%</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7</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金融衍生品</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8</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代客境外理财投资QDII</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9</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商品类资产</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10</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另类资产</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11</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公募基金</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2.53%</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12</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私募基金</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13</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资产管理产品</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14</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委外投资——协议方式</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15</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合计</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100.00%</w:t>
            </w:r>
          </w:p>
        </w:tc>
      </w:tr>
    </w:tbl>
    <w:p>
      <w:pPr>
        <w:adjustRightInd w:val="0"/>
        <w:snapToGrid w:val="0"/>
        <w:spacing w:line="440" w:lineRule="exact"/>
        <w:outlineLvl w:val="2"/>
        <w:rPr>
          <w:rFonts w:ascii="仿宋" w:hAnsi="仿宋" w:eastAsia="仿宋" w:cs="仿宋"/>
          <w:b/>
          <w:sz w:val="24"/>
        </w:rPr>
      </w:pPr>
      <w:r>
        <w:rPr>
          <w:rFonts w:hint="eastAsia" w:ascii="仿宋" w:hAnsi="仿宋" w:eastAsia="仿宋" w:cs="仿宋"/>
          <w:b/>
          <w:sz w:val="24"/>
        </w:rPr>
        <w:t>4.6报告期末投资前十名资产明细</w:t>
      </w:r>
    </w:p>
    <w:p>
      <w:pPr>
        <w:adjustRightInd w:val="0"/>
        <w:snapToGrid w:val="0"/>
        <w:spacing w:line="440" w:lineRule="exact"/>
        <w:ind w:firstLine="6240" w:firstLineChars="2600"/>
        <w:jc w:val="right"/>
        <w:rPr>
          <w:rFonts w:ascii="仿宋" w:hAnsi="仿宋" w:eastAsia="仿宋" w:cs="仿宋"/>
          <w:sz w:val="24"/>
        </w:rPr>
      </w:pPr>
      <w:r>
        <w:rPr>
          <w:rFonts w:hint="eastAsia" w:ascii="仿宋" w:hAnsi="仿宋" w:eastAsia="仿宋" w:cs="仿宋"/>
          <w:sz w:val="24"/>
        </w:rPr>
        <w:t>单位：人民币元</w:t>
      </w:r>
    </w:p>
    <w:tbl>
      <w:tblPr>
        <w:tblStyle w:val="10"/>
        <w:tblW w:w="90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2"/>
        <w:gridCol w:w="3772"/>
        <w:gridCol w:w="2340"/>
        <w:gridCol w:w="2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序号</w:t>
            </w:r>
          </w:p>
        </w:tc>
        <w:tc>
          <w:tcPr>
            <w:tcW w:w="3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资产名称</w:t>
            </w:r>
          </w:p>
        </w:tc>
        <w:tc>
          <w:tcPr>
            <w:tcW w:w="23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金额（元）</w:t>
            </w:r>
          </w:p>
        </w:tc>
        <w:tc>
          <w:tcPr>
            <w:tcW w:w="23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占资产净值比例（％）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1</w:t>
            </w:r>
          </w:p>
        </w:tc>
        <w:tc>
          <w:tcPr>
            <w:tcW w:w="3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21西咸02</w:t>
            </w:r>
          </w:p>
        </w:tc>
        <w:tc>
          <w:tcPr>
            <w:tcW w:w="23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26,029,534.25</w:t>
            </w:r>
          </w:p>
        </w:tc>
        <w:tc>
          <w:tcPr>
            <w:tcW w:w="23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w:t>
            </w:r>
          </w:p>
        </w:tc>
        <w:tc>
          <w:tcPr>
            <w:tcW w:w="3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22青岛北城MTN001</w:t>
            </w:r>
          </w:p>
        </w:tc>
        <w:tc>
          <w:tcPr>
            <w:tcW w:w="23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20,734,767.12</w:t>
            </w:r>
          </w:p>
        </w:tc>
        <w:tc>
          <w:tcPr>
            <w:tcW w:w="23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7.28%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3</w:t>
            </w:r>
          </w:p>
        </w:tc>
        <w:tc>
          <w:tcPr>
            <w:tcW w:w="3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20常山01</w:t>
            </w:r>
          </w:p>
        </w:tc>
        <w:tc>
          <w:tcPr>
            <w:tcW w:w="23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20,648,438.36</w:t>
            </w:r>
          </w:p>
        </w:tc>
        <w:tc>
          <w:tcPr>
            <w:tcW w:w="23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4</w:t>
            </w:r>
          </w:p>
        </w:tc>
        <w:tc>
          <w:tcPr>
            <w:tcW w:w="3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21城东投资MTN001</w:t>
            </w:r>
          </w:p>
        </w:tc>
        <w:tc>
          <w:tcPr>
            <w:tcW w:w="23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20,314,619.18</w:t>
            </w:r>
          </w:p>
        </w:tc>
        <w:tc>
          <w:tcPr>
            <w:tcW w:w="23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7.13%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5</w:t>
            </w:r>
          </w:p>
        </w:tc>
        <w:tc>
          <w:tcPr>
            <w:tcW w:w="3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22武侯资本MTN001</w:t>
            </w:r>
          </w:p>
        </w:tc>
        <w:tc>
          <w:tcPr>
            <w:tcW w:w="23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20,119,655.74</w:t>
            </w:r>
          </w:p>
        </w:tc>
        <w:tc>
          <w:tcPr>
            <w:tcW w:w="23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7.07%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6</w:t>
            </w:r>
          </w:p>
        </w:tc>
        <w:tc>
          <w:tcPr>
            <w:tcW w:w="3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22洛阳城投PPN002</w:t>
            </w:r>
          </w:p>
        </w:tc>
        <w:tc>
          <w:tcPr>
            <w:tcW w:w="23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20,008,947.95</w:t>
            </w:r>
          </w:p>
        </w:tc>
        <w:tc>
          <w:tcPr>
            <w:tcW w:w="23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7.03%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7</w:t>
            </w:r>
          </w:p>
        </w:tc>
        <w:tc>
          <w:tcPr>
            <w:tcW w:w="3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21首置01</w:t>
            </w:r>
          </w:p>
        </w:tc>
        <w:tc>
          <w:tcPr>
            <w:tcW w:w="23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19,857,260.27</w:t>
            </w:r>
          </w:p>
        </w:tc>
        <w:tc>
          <w:tcPr>
            <w:tcW w:w="23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6.97%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8</w:t>
            </w:r>
          </w:p>
        </w:tc>
        <w:tc>
          <w:tcPr>
            <w:tcW w:w="3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21菏城02</w:t>
            </w:r>
          </w:p>
        </w:tc>
        <w:tc>
          <w:tcPr>
            <w:tcW w:w="23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15,138,924.66</w:t>
            </w:r>
          </w:p>
        </w:tc>
        <w:tc>
          <w:tcPr>
            <w:tcW w:w="23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9</w:t>
            </w:r>
          </w:p>
        </w:tc>
        <w:tc>
          <w:tcPr>
            <w:tcW w:w="3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20定城02</w:t>
            </w:r>
          </w:p>
        </w:tc>
        <w:tc>
          <w:tcPr>
            <w:tcW w:w="23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10,531,561.64</w:t>
            </w:r>
          </w:p>
        </w:tc>
        <w:tc>
          <w:tcPr>
            <w:tcW w:w="23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10</w:t>
            </w:r>
          </w:p>
        </w:tc>
        <w:tc>
          <w:tcPr>
            <w:tcW w:w="3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21武高02</w:t>
            </w:r>
          </w:p>
        </w:tc>
        <w:tc>
          <w:tcPr>
            <w:tcW w:w="23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10,365,726.03</w:t>
            </w:r>
          </w:p>
        </w:tc>
        <w:tc>
          <w:tcPr>
            <w:tcW w:w="23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3.64%</w:t>
            </w:r>
          </w:p>
        </w:tc>
      </w:tr>
    </w:tbl>
    <w:p>
      <w:pPr>
        <w:adjustRightInd w:val="0"/>
        <w:snapToGrid w:val="0"/>
        <w:spacing w:line="440" w:lineRule="exact"/>
        <w:outlineLvl w:val="2"/>
        <w:rPr>
          <w:rFonts w:ascii="仿宋" w:hAnsi="仿宋" w:eastAsia="仿宋" w:cs="仿宋"/>
          <w:b/>
          <w:sz w:val="24"/>
        </w:rPr>
      </w:pPr>
      <w:r>
        <w:rPr>
          <w:rFonts w:hint="eastAsia" w:ascii="仿宋" w:hAnsi="仿宋" w:eastAsia="仿宋" w:cs="仿宋"/>
          <w:b/>
          <w:sz w:val="24"/>
        </w:rPr>
        <w:t>4.7 报告期融资情况</w:t>
      </w:r>
    </w:p>
    <w:p>
      <w:pPr>
        <w:adjustRightInd w:val="0"/>
        <w:snapToGrid w:val="0"/>
        <w:spacing w:line="440" w:lineRule="exact"/>
        <w:ind w:firstLine="6240" w:firstLineChars="2600"/>
        <w:jc w:val="right"/>
        <w:rPr>
          <w:rFonts w:ascii="仿宋" w:hAnsi="仿宋" w:eastAsia="仿宋" w:cs="仿宋"/>
          <w:sz w:val="24"/>
        </w:rPr>
      </w:pPr>
      <w:r>
        <w:rPr>
          <w:rFonts w:hint="eastAsia" w:ascii="仿宋" w:hAnsi="仿宋" w:eastAsia="仿宋" w:cs="仿宋"/>
          <w:sz w:val="24"/>
        </w:rPr>
        <w:t>单位：人民币元</w:t>
      </w:r>
    </w:p>
    <w:tbl>
      <w:tblPr>
        <w:tblStyle w:val="10"/>
        <w:tblW w:w="8999" w:type="dxa"/>
        <w:tblInd w:w="-5" w:type="dxa"/>
        <w:tblLayout w:type="fixed"/>
        <w:tblCellMar>
          <w:top w:w="0" w:type="dxa"/>
          <w:left w:w="30" w:type="dxa"/>
          <w:bottom w:w="0" w:type="dxa"/>
          <w:right w:w="30" w:type="dxa"/>
        </w:tblCellMar>
      </w:tblPr>
      <w:tblGrid>
        <w:gridCol w:w="632"/>
        <w:gridCol w:w="3167"/>
        <w:gridCol w:w="2433"/>
        <w:gridCol w:w="2767"/>
      </w:tblGrid>
      <w:tr>
        <w:tblPrEx>
          <w:tblLayout w:type="fixed"/>
          <w:tblCellMar>
            <w:top w:w="0" w:type="dxa"/>
            <w:left w:w="30" w:type="dxa"/>
            <w:bottom w:w="0" w:type="dxa"/>
            <w:right w:w="30" w:type="dxa"/>
          </w:tblCellMar>
        </w:tblPrEx>
        <w:trPr>
          <w:trHeight w:val="375" w:hRule="atLeast"/>
        </w:trPr>
        <w:tc>
          <w:tcPr>
            <w:tcW w:w="63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序号</w:t>
            </w:r>
          </w:p>
        </w:tc>
        <w:tc>
          <w:tcPr>
            <w:tcW w:w="3167"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项目</w:t>
            </w:r>
          </w:p>
        </w:tc>
        <w:tc>
          <w:tcPr>
            <w:tcW w:w="2433"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金额（元）</w:t>
            </w:r>
          </w:p>
        </w:tc>
        <w:tc>
          <w:tcPr>
            <w:tcW w:w="2767"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占资产净值比例（％）</w:t>
            </w:r>
          </w:p>
        </w:tc>
      </w:tr>
      <w:tr>
        <w:tblPrEx>
          <w:tblLayout w:type="fixed"/>
          <w:tblCellMar>
            <w:top w:w="0" w:type="dxa"/>
            <w:left w:w="30" w:type="dxa"/>
            <w:bottom w:w="0" w:type="dxa"/>
            <w:right w:w="30" w:type="dxa"/>
          </w:tblCellMar>
        </w:tblPrEx>
        <w:trPr>
          <w:trHeight w:val="295" w:hRule="atLeast"/>
        </w:trPr>
        <w:tc>
          <w:tcPr>
            <w:tcW w:w="63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1</w:t>
            </w:r>
          </w:p>
        </w:tc>
        <w:tc>
          <w:tcPr>
            <w:tcW w:w="316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报告期末质押式回购余额</w:t>
            </w:r>
          </w:p>
        </w:tc>
        <w:tc>
          <w:tcPr>
            <w:tcW w:w="24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kern w:val="0"/>
                <w:sz w:val="24"/>
              </w:rPr>
            </w:pPr>
            <w:r>
              <w:rPr>
                <w:rFonts w:hint="eastAsia" w:ascii="仿宋" w:hAnsi="仿宋" w:eastAsia="仿宋" w:cs="仿宋"/>
                <w:kern w:val="0"/>
                <w:sz w:val="24"/>
              </w:rPr>
              <w:t>54,049,656.11</w:t>
            </w:r>
          </w:p>
        </w:tc>
        <w:tc>
          <w:tcPr>
            <w:tcW w:w="276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kern w:val="0"/>
                <w:sz w:val="24"/>
              </w:rPr>
            </w:pPr>
            <w:r>
              <w:rPr>
                <w:rFonts w:hint="eastAsia" w:ascii="仿宋" w:hAnsi="仿宋" w:eastAsia="仿宋" w:cs="仿宋"/>
                <w:kern w:val="0"/>
                <w:sz w:val="24"/>
              </w:rPr>
              <w:t>18.98%</w:t>
            </w:r>
          </w:p>
        </w:tc>
      </w:tr>
      <w:tr>
        <w:tblPrEx>
          <w:tblLayout w:type="fixed"/>
          <w:tblCellMar>
            <w:top w:w="0" w:type="dxa"/>
            <w:left w:w="30" w:type="dxa"/>
            <w:bottom w:w="0" w:type="dxa"/>
            <w:right w:w="30" w:type="dxa"/>
          </w:tblCellMar>
        </w:tblPrEx>
        <w:trPr>
          <w:trHeight w:val="295" w:hRule="atLeast"/>
        </w:trPr>
        <w:tc>
          <w:tcPr>
            <w:tcW w:w="63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2</w:t>
            </w:r>
          </w:p>
        </w:tc>
        <w:tc>
          <w:tcPr>
            <w:tcW w:w="316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报告期末同业拆入余额</w:t>
            </w:r>
          </w:p>
        </w:tc>
        <w:tc>
          <w:tcPr>
            <w:tcW w:w="24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kern w:val="0"/>
                <w:sz w:val="24"/>
              </w:rPr>
            </w:pPr>
            <w:r>
              <w:rPr>
                <w:rFonts w:hint="eastAsia" w:ascii="仿宋" w:hAnsi="仿宋" w:eastAsia="仿宋" w:cs="仿宋"/>
                <w:kern w:val="0"/>
                <w:sz w:val="24"/>
              </w:rPr>
              <w:t>0.00</w:t>
            </w:r>
          </w:p>
        </w:tc>
        <w:tc>
          <w:tcPr>
            <w:tcW w:w="276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kern w:val="0"/>
                <w:sz w:val="24"/>
              </w:rPr>
            </w:pPr>
            <w:r>
              <w:rPr>
                <w:rFonts w:hint="eastAsia" w:ascii="仿宋" w:hAnsi="仿宋" w:eastAsia="仿宋" w:cs="仿宋"/>
                <w:kern w:val="0"/>
                <w:sz w:val="24"/>
              </w:rPr>
              <w:t>0.00%</w:t>
            </w:r>
          </w:p>
        </w:tc>
      </w:tr>
      <w:tr>
        <w:tblPrEx>
          <w:tblLayout w:type="fixed"/>
          <w:tblCellMar>
            <w:top w:w="0" w:type="dxa"/>
            <w:left w:w="30" w:type="dxa"/>
            <w:bottom w:w="0" w:type="dxa"/>
            <w:right w:w="30" w:type="dxa"/>
          </w:tblCellMar>
        </w:tblPrEx>
        <w:trPr>
          <w:trHeight w:val="295" w:hRule="atLeast"/>
        </w:trPr>
        <w:tc>
          <w:tcPr>
            <w:tcW w:w="63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3</w:t>
            </w:r>
          </w:p>
        </w:tc>
        <w:tc>
          <w:tcPr>
            <w:tcW w:w="316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其他</w:t>
            </w:r>
          </w:p>
        </w:tc>
        <w:tc>
          <w:tcPr>
            <w:tcW w:w="24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kern w:val="0"/>
                <w:sz w:val="24"/>
              </w:rPr>
            </w:pPr>
            <w:r>
              <w:rPr>
                <w:rFonts w:hint="eastAsia" w:ascii="仿宋" w:hAnsi="仿宋" w:eastAsia="仿宋" w:cs="仿宋"/>
                <w:kern w:val="0"/>
                <w:sz w:val="24"/>
              </w:rPr>
              <w:t>0.00</w:t>
            </w:r>
          </w:p>
        </w:tc>
        <w:tc>
          <w:tcPr>
            <w:tcW w:w="276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kern w:val="0"/>
                <w:sz w:val="24"/>
              </w:rPr>
            </w:pPr>
            <w:r>
              <w:rPr>
                <w:rFonts w:hint="eastAsia" w:ascii="仿宋" w:hAnsi="仿宋" w:eastAsia="仿宋" w:cs="仿宋"/>
                <w:kern w:val="0"/>
                <w:sz w:val="24"/>
              </w:rPr>
              <w:t>0.00%</w:t>
            </w:r>
          </w:p>
        </w:tc>
      </w:tr>
    </w:tbl>
    <w:p>
      <w:pPr>
        <w:adjustRightInd w:val="0"/>
        <w:snapToGrid w:val="0"/>
        <w:spacing w:line="440" w:lineRule="exact"/>
        <w:outlineLvl w:val="2"/>
        <w:rPr>
          <w:rFonts w:ascii="仿宋" w:hAnsi="仿宋" w:eastAsia="仿宋" w:cs="仿宋"/>
          <w:b/>
          <w:sz w:val="24"/>
        </w:rPr>
      </w:pPr>
      <w:bookmarkStart w:id="1" w:name="_Toc481074947"/>
      <w:r>
        <w:rPr>
          <w:rFonts w:hint="eastAsia" w:ascii="仿宋" w:hAnsi="仿宋" w:eastAsia="仿宋" w:cs="仿宋"/>
          <w:b/>
          <w:sz w:val="24"/>
        </w:rPr>
        <w:t>4.8报告期末投资非标准化债权资产</w:t>
      </w:r>
      <w:bookmarkEnd w:id="1"/>
      <w:r>
        <w:rPr>
          <w:rFonts w:hint="eastAsia" w:ascii="仿宋" w:hAnsi="仿宋" w:eastAsia="仿宋" w:cs="仿宋"/>
          <w:b/>
          <w:sz w:val="24"/>
        </w:rPr>
        <w:t>情况</w:t>
      </w:r>
    </w:p>
    <w:p>
      <w:pPr>
        <w:adjustRightInd w:val="0"/>
        <w:snapToGrid w:val="0"/>
        <w:spacing w:line="380" w:lineRule="exact"/>
        <w:ind w:firstLine="6720" w:firstLineChars="2800"/>
        <w:rPr>
          <w:rFonts w:ascii="仿宋" w:hAnsi="仿宋" w:eastAsia="仿宋" w:cs="仿宋"/>
          <w:sz w:val="24"/>
        </w:rPr>
      </w:pPr>
      <w:r>
        <w:rPr>
          <w:rFonts w:hint="eastAsia" w:ascii="仿宋" w:hAnsi="仿宋" w:eastAsia="仿宋" w:cs="仿宋"/>
          <w:sz w:val="24"/>
        </w:rPr>
        <w:t>单位：人民币元</w:t>
      </w:r>
    </w:p>
    <w:tbl>
      <w:tblPr>
        <w:tblStyle w:val="10"/>
        <w:tblW w:w="8994" w:type="dxa"/>
        <w:tblInd w:w="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1330"/>
        <w:gridCol w:w="1569"/>
        <w:gridCol w:w="1041"/>
        <w:gridCol w:w="1833"/>
        <w:gridCol w:w="802"/>
        <w:gridCol w:w="970"/>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 xml:space="preserve">序号 </w:t>
            </w:r>
          </w:p>
        </w:tc>
        <w:tc>
          <w:tcPr>
            <w:tcW w:w="133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融资客户</w:t>
            </w:r>
          </w:p>
        </w:tc>
        <w:tc>
          <w:tcPr>
            <w:tcW w:w="156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项目名称</w:t>
            </w:r>
          </w:p>
        </w:tc>
        <w:tc>
          <w:tcPr>
            <w:tcW w:w="104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资产到期日</w:t>
            </w:r>
          </w:p>
        </w:tc>
        <w:tc>
          <w:tcPr>
            <w:tcW w:w="18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资产价值（元）</w:t>
            </w:r>
          </w:p>
        </w:tc>
        <w:tc>
          <w:tcPr>
            <w:tcW w:w="80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交易结构</w:t>
            </w:r>
          </w:p>
        </w:tc>
        <w:tc>
          <w:tcPr>
            <w:tcW w:w="9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color w:val="FF0000"/>
                <w:sz w:val="24"/>
              </w:rPr>
            </w:pPr>
            <w:r>
              <w:rPr>
                <w:rFonts w:hint="eastAsia" w:ascii="仿宋" w:hAnsi="仿宋" w:eastAsia="仿宋" w:cs="仿宋"/>
                <w:sz w:val="24"/>
              </w:rPr>
              <w:t>收益分配方式</w:t>
            </w:r>
          </w:p>
        </w:tc>
        <w:tc>
          <w:tcPr>
            <w:tcW w:w="81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风险状况</w:t>
            </w:r>
          </w:p>
        </w:tc>
      </w:tr>
    </w:tbl>
    <w:p>
      <w:pPr>
        <w:adjustRightInd w:val="0"/>
        <w:snapToGrid w:val="0"/>
        <w:spacing w:line="380" w:lineRule="exact"/>
        <w:rPr>
          <w:rFonts w:ascii="仿宋" w:hAnsi="仿宋" w:eastAsia="仿宋" w:cs="仿宋"/>
          <w:color w:val="0000FF"/>
          <w:kern w:val="0"/>
          <w:sz w:val="24"/>
          <w:highlight w:val="yellow"/>
        </w:rPr>
      </w:pPr>
    </w:p>
    <w:p>
      <w:pPr>
        <w:pStyle w:val="2"/>
        <w:adjustRightInd w:val="0"/>
        <w:snapToGrid w:val="0"/>
        <w:spacing w:line="560" w:lineRule="exact"/>
        <w:jc w:val="center"/>
        <w:rPr>
          <w:rFonts w:ascii="仿宋" w:hAnsi="仿宋" w:eastAsia="仿宋" w:cs="仿宋"/>
          <w:sz w:val="24"/>
        </w:rPr>
      </w:pPr>
      <w:r>
        <w:rPr>
          <w:rFonts w:hint="eastAsia" w:ascii="仿宋" w:hAnsi="仿宋" w:eastAsia="仿宋" w:cs="仿宋"/>
          <w:sz w:val="24"/>
        </w:rPr>
        <w:t>§5  产品份额变动</w:t>
      </w:r>
    </w:p>
    <w:p>
      <w:pPr>
        <w:adjustRightInd w:val="0"/>
        <w:snapToGrid w:val="0"/>
        <w:spacing w:line="440" w:lineRule="exact"/>
        <w:ind w:firstLine="6240" w:firstLineChars="2600"/>
        <w:jc w:val="right"/>
        <w:rPr>
          <w:rFonts w:ascii="仿宋" w:hAnsi="仿宋" w:eastAsia="仿宋" w:cs="仿宋"/>
          <w:sz w:val="24"/>
        </w:rPr>
      </w:pPr>
      <w:r>
        <w:rPr>
          <w:rFonts w:hint="eastAsia" w:ascii="仿宋" w:hAnsi="仿宋" w:eastAsia="仿宋" w:cs="仿宋"/>
          <w:sz w:val="24"/>
        </w:rPr>
        <w:t>单位：份</w:t>
      </w:r>
    </w:p>
    <w:tbl>
      <w:tblPr>
        <w:tblStyle w:val="10"/>
        <w:tblW w:w="8987" w:type="dxa"/>
        <w:tblInd w:w="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1"/>
        <w:gridCol w:w="4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1"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color w:val="000000"/>
                <w:sz w:val="24"/>
              </w:rPr>
            </w:pPr>
            <w:r>
              <w:rPr>
                <w:rFonts w:hint="eastAsia" w:ascii="仿宋" w:hAnsi="仿宋" w:eastAsia="仿宋" w:cs="仿宋"/>
                <w:color w:val="000000"/>
                <w:sz w:val="24"/>
              </w:rPr>
              <w:t>报告期期初产品份额总额</w:t>
            </w:r>
          </w:p>
        </w:tc>
        <w:tc>
          <w:tcPr>
            <w:tcW w:w="4596" w:type="dxa"/>
            <w:tcBorders>
              <w:top w:val="single" w:color="auto" w:sz="4" w:space="0"/>
              <w:left w:val="single" w:color="auto" w:sz="4" w:space="0"/>
              <w:bottom w:val="single" w:color="auto" w:sz="4" w:space="0"/>
              <w:right w:val="single" w:color="auto" w:sz="4" w:space="0"/>
            </w:tcBorders>
          </w:tcPr>
          <w:p>
            <w:pPr>
              <w:adjustRightInd w:val="0"/>
              <w:snapToGrid w:val="0"/>
              <w:jc w:val="right"/>
              <w:rPr>
                <w:rFonts w:ascii="仿宋" w:hAnsi="仿宋" w:eastAsia="仿宋" w:cs="仿宋"/>
                <w:color w:val="000000"/>
                <w:sz w:val="24"/>
              </w:rPr>
            </w:pPr>
            <w:r>
              <w:rPr>
                <w:rFonts w:hint="eastAsia" w:ascii="仿宋" w:hAnsi="仿宋" w:eastAsia="仿宋" w:cs="仿宋"/>
                <w:color w:val="000000"/>
                <w:sz w:val="24"/>
                <w:lang w:val="en-US" w:eastAsia="zh-CN"/>
              </w:rPr>
              <w:t>627</w:t>
            </w:r>
            <w:r>
              <w:rPr>
                <w:rFonts w:hint="eastAsia" w:ascii="仿宋" w:hAnsi="仿宋" w:eastAsia="仿宋" w:cs="仿宋"/>
                <w:color w:val="000000"/>
                <w:sz w:val="24"/>
              </w:rPr>
              <w:t>,</w:t>
            </w:r>
            <w:r>
              <w:rPr>
                <w:rFonts w:hint="eastAsia" w:ascii="仿宋" w:hAnsi="仿宋" w:eastAsia="仿宋" w:cs="仿宋"/>
                <w:color w:val="000000"/>
                <w:sz w:val="24"/>
                <w:lang w:val="en-US" w:eastAsia="zh-CN"/>
              </w:rPr>
              <w:t>681</w:t>
            </w:r>
            <w:r>
              <w:rPr>
                <w:rFonts w:hint="eastAsia" w:ascii="仿宋" w:hAnsi="仿宋" w:eastAsia="仿宋" w:cs="仿宋"/>
                <w:color w:val="000000"/>
                <w:sz w:val="24"/>
              </w:rPr>
              <w:t>,</w:t>
            </w:r>
            <w:r>
              <w:rPr>
                <w:rFonts w:hint="eastAsia" w:ascii="仿宋" w:hAnsi="仿宋" w:eastAsia="仿宋" w:cs="仿宋"/>
                <w:color w:val="000000"/>
                <w:sz w:val="24"/>
                <w:lang w:val="en-US" w:eastAsia="zh-CN"/>
              </w:rPr>
              <w:t>951</w:t>
            </w:r>
            <w:r>
              <w:rPr>
                <w:rFonts w:hint="eastAsia" w:ascii="仿宋" w:hAnsi="仿宋" w:eastAsia="仿宋" w:cs="仿宋"/>
                <w:color w:val="000000"/>
                <w:sz w:val="24"/>
              </w:rPr>
              <w:t>.</w:t>
            </w:r>
            <w:r>
              <w:rPr>
                <w:rFonts w:hint="eastAsia" w:ascii="仿宋" w:hAnsi="仿宋" w:eastAsia="仿宋" w:cs="仿宋"/>
                <w:color w:val="000000"/>
                <w:sz w:val="24"/>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1"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color w:val="000000"/>
                <w:sz w:val="24"/>
              </w:rPr>
            </w:pPr>
            <w:r>
              <w:rPr>
                <w:rFonts w:hint="eastAsia" w:ascii="仿宋" w:hAnsi="仿宋" w:eastAsia="仿宋" w:cs="仿宋"/>
                <w:color w:val="000000"/>
                <w:sz w:val="24"/>
              </w:rPr>
              <w:t>报告期期末产品份额总额</w:t>
            </w:r>
          </w:p>
        </w:tc>
        <w:tc>
          <w:tcPr>
            <w:tcW w:w="4596" w:type="dxa"/>
            <w:tcBorders>
              <w:top w:val="single" w:color="auto" w:sz="4" w:space="0"/>
              <w:left w:val="single" w:color="auto" w:sz="4" w:space="0"/>
              <w:bottom w:val="single" w:color="auto" w:sz="4" w:space="0"/>
              <w:right w:val="single" w:color="auto" w:sz="4" w:space="0"/>
            </w:tcBorders>
          </w:tcPr>
          <w:p>
            <w:pPr>
              <w:adjustRightInd w:val="0"/>
              <w:snapToGrid w:val="0"/>
              <w:jc w:val="right"/>
              <w:rPr>
                <w:rFonts w:ascii="仿宋" w:hAnsi="仿宋" w:eastAsia="仿宋" w:cs="仿宋"/>
                <w:color w:val="000000"/>
                <w:sz w:val="24"/>
              </w:rPr>
            </w:pPr>
            <w:r>
              <w:rPr>
                <w:rFonts w:hint="eastAsia" w:ascii="仿宋" w:hAnsi="仿宋" w:eastAsia="仿宋" w:cs="仿宋"/>
                <w:color w:val="000000"/>
                <w:sz w:val="24"/>
              </w:rPr>
              <w:t>258,524,399.35</w:t>
            </w:r>
          </w:p>
        </w:tc>
      </w:tr>
    </w:tbl>
    <w:p>
      <w:pPr>
        <w:widowControl/>
        <w:adjustRightInd w:val="0"/>
        <w:snapToGrid w:val="0"/>
        <w:jc w:val="left"/>
        <w:rPr>
          <w:rFonts w:ascii="仿宋" w:hAnsi="仿宋" w:eastAsia="仿宋" w:cs="仿宋"/>
          <w:color w:val="404040"/>
          <w:kern w:val="0"/>
          <w:sz w:val="24"/>
        </w:rPr>
      </w:pPr>
    </w:p>
    <w:p>
      <w:pPr>
        <w:pStyle w:val="2"/>
        <w:adjustRightInd w:val="0"/>
        <w:snapToGrid w:val="0"/>
        <w:spacing w:line="560" w:lineRule="exact"/>
        <w:jc w:val="center"/>
        <w:rPr>
          <w:rFonts w:ascii="仿宋" w:hAnsi="仿宋" w:eastAsia="仿宋" w:cs="仿宋"/>
          <w:sz w:val="24"/>
        </w:rPr>
      </w:pPr>
      <w:r>
        <w:rPr>
          <w:rFonts w:hint="eastAsia" w:ascii="仿宋" w:hAnsi="仿宋" w:eastAsia="仿宋" w:cs="仿宋"/>
          <w:sz w:val="24"/>
        </w:rPr>
        <w:t>§6 托管人报告</w:t>
      </w:r>
    </w:p>
    <w:p>
      <w:pPr>
        <w:adjustRightInd w:val="0"/>
        <w:snapToGrid w:val="0"/>
        <w:spacing w:line="420" w:lineRule="exact"/>
        <w:ind w:firstLine="480" w:firstLineChars="200"/>
        <w:rPr>
          <w:rFonts w:ascii="仿宋" w:hAnsi="仿宋" w:eastAsia="仿宋" w:cs="仿宋"/>
          <w:sz w:val="24"/>
        </w:rPr>
      </w:pPr>
      <w:r>
        <w:rPr>
          <w:rFonts w:hint="eastAsia" w:ascii="仿宋" w:hAnsi="仿宋" w:eastAsia="仿宋" w:cs="仿宋"/>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pPr>
        <w:adjustRightInd w:val="0"/>
        <w:snapToGrid w:val="0"/>
        <w:spacing w:line="420" w:lineRule="exact"/>
        <w:ind w:firstLine="480" w:firstLineChars="200"/>
        <w:rPr>
          <w:rFonts w:ascii="仿宋" w:hAnsi="仿宋" w:eastAsia="仿宋" w:cs="仿宋"/>
          <w:sz w:val="24"/>
        </w:rPr>
      </w:pPr>
      <w:r>
        <w:rPr>
          <w:rFonts w:hint="eastAsia" w:ascii="仿宋" w:hAnsi="仿宋" w:eastAsia="仿宋" w:cs="仿宋"/>
          <w:sz w:val="24"/>
        </w:rPr>
        <w:t>本托管人复核了本产品报告中的财务指标、净值表现和投资组合报告等内容。经复核，本产品报告中披露的理财产品财务数据核对一致。</w:t>
      </w:r>
    </w:p>
    <w:p>
      <w:pPr>
        <w:adjustRightInd w:val="0"/>
        <w:snapToGrid w:val="0"/>
        <w:rPr>
          <w:rFonts w:ascii="仿宋" w:hAnsi="仿宋" w:eastAsia="仿宋" w:cs="仿宋"/>
          <w:bCs/>
          <w:sz w:val="24"/>
        </w:rPr>
      </w:pPr>
    </w:p>
    <w:p>
      <w:pPr>
        <w:pStyle w:val="2"/>
        <w:adjustRightInd w:val="0"/>
        <w:snapToGrid w:val="0"/>
        <w:spacing w:line="560" w:lineRule="exact"/>
        <w:jc w:val="center"/>
        <w:rPr>
          <w:rFonts w:ascii="仿宋" w:hAnsi="仿宋" w:eastAsia="仿宋" w:cs="仿宋"/>
          <w:sz w:val="24"/>
        </w:rPr>
      </w:pPr>
      <w:r>
        <w:rPr>
          <w:rFonts w:hint="eastAsia" w:ascii="仿宋" w:hAnsi="仿宋" w:eastAsia="仿宋" w:cs="仿宋"/>
          <w:sz w:val="24"/>
        </w:rPr>
        <w:t>§7 报告期内关联交易情况</w:t>
      </w:r>
    </w:p>
    <w:p>
      <w:pPr>
        <w:adjustRightInd w:val="0"/>
        <w:snapToGrid w:val="0"/>
        <w:spacing w:line="440" w:lineRule="exact"/>
        <w:outlineLvl w:val="2"/>
        <w:rPr>
          <w:rFonts w:ascii="仿宋" w:hAnsi="仿宋" w:eastAsia="仿宋" w:cs="仿宋"/>
          <w:b/>
          <w:sz w:val="24"/>
        </w:rPr>
      </w:pPr>
      <w:r>
        <w:rPr>
          <w:rFonts w:hint="eastAsia" w:ascii="仿宋" w:hAnsi="仿宋" w:eastAsia="仿宋" w:cs="仿宋"/>
          <w:b/>
          <w:sz w:val="24"/>
        </w:rPr>
        <w:t>7.1 产品投资于关联方发行或承销的证券、资产管理产品，或其他关联交易</w:t>
      </w:r>
    </w:p>
    <w:p>
      <w:pPr>
        <w:adjustRightInd w:val="0"/>
        <w:snapToGrid w:val="0"/>
        <w:spacing w:line="440" w:lineRule="exact"/>
        <w:ind w:firstLine="6240" w:firstLineChars="2600"/>
        <w:jc w:val="right"/>
        <w:rPr>
          <w:rFonts w:ascii="仿宋" w:hAnsi="仿宋" w:eastAsia="仿宋" w:cs="仿宋"/>
          <w:b/>
          <w:sz w:val="24"/>
        </w:rPr>
      </w:pPr>
      <w:r>
        <w:rPr>
          <w:rFonts w:hint="eastAsia" w:ascii="仿宋" w:hAnsi="仿宋" w:eastAsia="仿宋" w:cs="仿宋"/>
          <w:sz w:val="24"/>
        </w:rPr>
        <w:t>单位：元、份</w:t>
      </w:r>
    </w:p>
    <w:tbl>
      <w:tblPr>
        <w:tblStyle w:val="11"/>
        <w:tblW w:w="8994" w:type="dxa"/>
        <w:tblInd w:w="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34"/>
        <w:gridCol w:w="1605"/>
        <w:gridCol w:w="1401"/>
        <w:gridCol w:w="791"/>
        <w:gridCol w:w="754"/>
        <w:gridCol w:w="1904"/>
        <w:gridCol w:w="19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trPr>
        <w:tc>
          <w:tcPr>
            <w:tcW w:w="634"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序号</w:t>
            </w:r>
          </w:p>
        </w:tc>
        <w:tc>
          <w:tcPr>
            <w:tcW w:w="1605"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关联方</w:t>
            </w:r>
          </w:p>
        </w:tc>
        <w:tc>
          <w:tcPr>
            <w:tcW w:w="1401"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资产名称</w:t>
            </w:r>
          </w:p>
        </w:tc>
        <w:tc>
          <w:tcPr>
            <w:tcW w:w="791"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资产类型</w:t>
            </w:r>
          </w:p>
        </w:tc>
        <w:tc>
          <w:tcPr>
            <w:tcW w:w="754"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交易类型</w:t>
            </w:r>
          </w:p>
        </w:tc>
        <w:tc>
          <w:tcPr>
            <w:tcW w:w="1904"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交易金额（元）</w:t>
            </w:r>
          </w:p>
        </w:tc>
        <w:tc>
          <w:tcPr>
            <w:tcW w:w="1905"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2" w:hRule="atLeast"/>
        </w:trPr>
        <w:tc>
          <w:tcPr>
            <w:tcW w:w="634"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1</w:t>
            </w:r>
          </w:p>
        </w:tc>
        <w:tc>
          <w:tcPr>
            <w:tcW w:w="1605"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杭州银行股份有限公司</w:t>
            </w:r>
          </w:p>
        </w:tc>
        <w:tc>
          <w:tcPr>
            <w:tcW w:w="1401"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22高教投资PPN001</w:t>
            </w:r>
          </w:p>
        </w:tc>
        <w:tc>
          <w:tcPr>
            <w:tcW w:w="791"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债券</w:t>
            </w:r>
          </w:p>
        </w:tc>
        <w:tc>
          <w:tcPr>
            <w:tcW w:w="754"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卖出</w:t>
            </w:r>
          </w:p>
        </w:tc>
        <w:tc>
          <w:tcPr>
            <w:tcW w:w="1904"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10,619,448.77</w:t>
            </w:r>
          </w:p>
        </w:tc>
        <w:tc>
          <w:tcPr>
            <w:tcW w:w="1905"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100,000.00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2" w:hRule="atLeast"/>
        </w:trPr>
        <w:tc>
          <w:tcPr>
            <w:tcW w:w="634"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2</w:t>
            </w:r>
          </w:p>
        </w:tc>
        <w:tc>
          <w:tcPr>
            <w:tcW w:w="1605"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杭州银行股份有限公司</w:t>
            </w:r>
          </w:p>
        </w:tc>
        <w:tc>
          <w:tcPr>
            <w:tcW w:w="1401"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23蚌埠投资SCP002</w:t>
            </w:r>
          </w:p>
        </w:tc>
        <w:tc>
          <w:tcPr>
            <w:tcW w:w="791"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债券</w:t>
            </w:r>
          </w:p>
        </w:tc>
        <w:tc>
          <w:tcPr>
            <w:tcW w:w="754"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买入</w:t>
            </w:r>
          </w:p>
        </w:tc>
        <w:tc>
          <w:tcPr>
            <w:tcW w:w="1904"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10,000,000.00</w:t>
            </w:r>
          </w:p>
        </w:tc>
        <w:tc>
          <w:tcPr>
            <w:tcW w:w="1905"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100,000.00</w:t>
            </w:r>
          </w:p>
        </w:tc>
      </w:tr>
    </w:tbl>
    <w:p>
      <w:pPr>
        <w:adjustRightInd w:val="0"/>
        <w:snapToGrid w:val="0"/>
        <w:spacing w:line="440" w:lineRule="exact"/>
        <w:outlineLvl w:val="2"/>
        <w:rPr>
          <w:rFonts w:ascii="仿宋" w:hAnsi="仿宋" w:eastAsia="仿宋" w:cs="仿宋"/>
          <w:b/>
          <w:sz w:val="24"/>
        </w:rPr>
      </w:pPr>
      <w:r>
        <w:rPr>
          <w:rFonts w:hint="eastAsia" w:ascii="仿宋" w:hAnsi="仿宋" w:eastAsia="仿宋" w:cs="仿宋"/>
          <w:b/>
          <w:sz w:val="24"/>
        </w:rPr>
        <w:t>7.2 产品向关联方支付的费用</w:t>
      </w:r>
    </w:p>
    <w:tbl>
      <w:tblPr>
        <w:tblStyle w:val="11"/>
        <w:tblW w:w="8994" w:type="dxa"/>
        <w:tblInd w:w="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4"/>
        <w:gridCol w:w="2958"/>
        <w:gridCol w:w="2202"/>
        <w:gridCol w:w="31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94" w:type="dxa"/>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序号</w:t>
            </w:r>
          </w:p>
        </w:tc>
        <w:tc>
          <w:tcPr>
            <w:tcW w:w="2958"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关联方</w:t>
            </w:r>
          </w:p>
        </w:tc>
        <w:tc>
          <w:tcPr>
            <w:tcW w:w="2202"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费用类型</w:t>
            </w:r>
          </w:p>
        </w:tc>
        <w:tc>
          <w:tcPr>
            <w:tcW w:w="3140"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交易金额（元）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87" w:hRule="atLeast"/>
        </w:trPr>
        <w:tc>
          <w:tcPr>
            <w:tcW w:w="694" w:type="dxa"/>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1</w:t>
            </w:r>
          </w:p>
        </w:tc>
        <w:tc>
          <w:tcPr>
            <w:tcW w:w="2958"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杭州银行股份有限公司</w:t>
            </w:r>
          </w:p>
        </w:tc>
        <w:tc>
          <w:tcPr>
            <w:tcW w:w="2202"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托管费</w:t>
            </w:r>
          </w:p>
        </w:tc>
        <w:tc>
          <w:tcPr>
            <w:tcW w:w="3140"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178,574.29</w:t>
            </w:r>
          </w:p>
        </w:tc>
      </w:tr>
    </w:tbl>
    <w:p>
      <w:pPr>
        <w:widowControl/>
        <w:adjustRightInd w:val="0"/>
        <w:snapToGrid w:val="0"/>
        <w:ind w:firstLine="480" w:firstLineChars="200"/>
        <w:jc w:val="left"/>
        <w:rPr>
          <w:rFonts w:ascii="仿宋" w:hAnsi="仿宋" w:eastAsia="仿宋" w:cs="仿宋"/>
          <w:color w:val="404040"/>
          <w:kern w:val="0"/>
          <w:sz w:val="24"/>
        </w:rPr>
      </w:pPr>
    </w:p>
    <w:p>
      <w:pPr>
        <w:widowControl/>
        <w:adjustRightInd w:val="0"/>
        <w:snapToGrid w:val="0"/>
        <w:ind w:firstLine="480" w:firstLineChars="200"/>
        <w:jc w:val="left"/>
        <w:rPr>
          <w:rFonts w:ascii="仿宋" w:hAnsi="仿宋" w:eastAsia="仿宋" w:cs="仿宋"/>
          <w:color w:val="404040"/>
          <w:kern w:val="0"/>
          <w:sz w:val="24"/>
        </w:rPr>
      </w:pPr>
    </w:p>
    <w:p>
      <w:pPr>
        <w:ind w:left="360"/>
        <w:jc w:val="right"/>
        <w:rPr>
          <w:rFonts w:ascii="仿宋" w:hAnsi="仿宋" w:eastAsia="仿宋" w:cs="仿宋"/>
          <w:sz w:val="24"/>
        </w:rPr>
      </w:pPr>
    </w:p>
    <w:p>
      <w:pPr>
        <w:ind w:left="360"/>
        <w:jc w:val="right"/>
        <w:rPr>
          <w:rFonts w:ascii="仿宋" w:hAnsi="仿宋" w:eastAsia="仿宋" w:cs="仿宋"/>
          <w:sz w:val="24"/>
        </w:rPr>
      </w:pPr>
      <w:r>
        <w:rPr>
          <w:rFonts w:hint="eastAsia" w:ascii="仿宋" w:hAnsi="仿宋" w:eastAsia="仿宋" w:cs="仿宋"/>
          <w:sz w:val="24"/>
        </w:rPr>
        <w:t>杭银理财有限责任公司</w:t>
      </w:r>
    </w:p>
    <w:p>
      <w:pPr>
        <w:jc w:val="right"/>
        <w:rPr>
          <w:sz w:val="24"/>
        </w:rPr>
      </w:pPr>
      <w:r>
        <w:rPr>
          <w:rFonts w:hint="eastAsia" w:ascii="仿宋" w:hAnsi="仿宋" w:eastAsia="仿宋" w:cs="仿宋"/>
          <w:sz w:val="24"/>
        </w:rPr>
        <w:t>2023年4月19日</w:t>
      </w:r>
    </w:p>
    <w:p/>
    <w:p/>
    <w:sectPr>
      <w:headerReference r:id="rId3" w:type="default"/>
      <w:pgSz w:w="11906" w:h="16838"/>
      <w:pgMar w:top="2551" w:right="1803" w:bottom="2551" w:left="1803" w:header="851" w:footer="992" w:gutter="0"/>
      <w:cols w:space="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简体">
    <w:altName w:val="宋体"/>
    <w:panose1 w:val="00000000000000000000"/>
    <w:charset w:val="86"/>
    <w:family w:val="roman"/>
    <w:pitch w:val="default"/>
    <w:sig w:usb0="00000000" w:usb1="00000000" w:usb2="00000000" w:usb3="00000000" w:csb0="00040000" w:csb1="00000000"/>
  </w:font>
  <w:font w:name="方正楷体简体">
    <w:altName w:val="宋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7BE171B"/>
    <w:rsid w:val="60416E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2"/>
    <w:unhideWhenUsed/>
    <w:qFormat/>
    <w:uiPriority w:val="0"/>
    <w:pPr>
      <w:keepNext/>
      <w:keepLines/>
      <w:spacing w:line="400" w:lineRule="exact"/>
      <w:jc w:val="left"/>
      <w:outlineLvl w:val="1"/>
    </w:pPr>
    <w:rPr>
      <w:rFonts w:ascii="Arial" w:hAnsi="Arial" w:eastAsia="宋体"/>
      <w:b/>
    </w:rPr>
  </w:style>
  <w:style w:type="paragraph" w:styleId="3">
    <w:name w:val="heading 3"/>
    <w:basedOn w:val="1"/>
    <w:next w:val="1"/>
    <w:link w:val="13"/>
    <w:unhideWhenUsed/>
    <w:qFormat/>
    <w:uiPriority w:val="0"/>
    <w:pPr>
      <w:keepNext/>
      <w:keepLines/>
      <w:spacing w:line="400" w:lineRule="exact"/>
      <w:jc w:val="left"/>
      <w:outlineLvl w:val="2"/>
    </w:pPr>
    <w:rPr>
      <w:rFonts w:ascii="Times New Roman" w:hAnsi="Times New Roman" w:eastAsia="宋体"/>
      <w:b/>
    </w:rPr>
  </w:style>
  <w:style w:type="character" w:default="1" w:styleId="9">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4">
    <w:name w:val="Body Text"/>
    <w:basedOn w:val="1"/>
    <w:link w:val="14"/>
    <w:unhideWhenUsed/>
    <w:qFormat/>
    <w:uiPriority w:val="0"/>
    <w:pPr>
      <w:spacing w:after="120"/>
    </w:pPr>
    <w:rPr>
      <w:rFonts w:ascii="Times New Roman" w:hAnsi="Times New Roman" w:eastAsia="方正仿宋简体" w:cs="Times New Roman"/>
      <w:sz w:val="32"/>
      <w:szCs w:val="20"/>
    </w:rPr>
  </w:style>
  <w:style w:type="paragraph" w:styleId="5">
    <w:name w:val="Balloon Text"/>
    <w:basedOn w:val="1"/>
    <w:link w:val="17"/>
    <w:semiHidden/>
    <w:unhideWhenUsed/>
    <w:uiPriority w:val="99"/>
    <w:rPr>
      <w:sz w:val="18"/>
      <w:szCs w:val="18"/>
    </w:rPr>
  </w:style>
  <w:style w:type="paragraph" w:styleId="6">
    <w:name w:val="footer"/>
    <w:basedOn w:val="1"/>
    <w:link w:val="16"/>
    <w:unhideWhenUsed/>
    <w:uiPriority w:val="99"/>
    <w:pPr>
      <w:tabs>
        <w:tab w:val="center" w:pos="4153"/>
        <w:tab w:val="right" w:pos="8306"/>
      </w:tabs>
      <w:snapToGrid w:val="0"/>
      <w:jc w:val="left"/>
    </w:pPr>
    <w:rPr>
      <w:sz w:val="18"/>
      <w:szCs w:val="18"/>
    </w:rPr>
  </w:style>
  <w:style w:type="paragraph" w:styleId="7">
    <w:name w:val="header"/>
    <w:basedOn w:val="1"/>
    <w:link w:val="15"/>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unhideWhenUsed/>
    <w:qFormat/>
    <w:uiPriority w:val="0"/>
    <w:pPr>
      <w:widowControl/>
      <w:spacing w:before="100" w:beforeAutospacing="1" w:after="100" w:afterAutospacing="1"/>
    </w:pPr>
    <w:rPr>
      <w:rFonts w:ascii="宋体" w:hAnsi="宋体" w:eastAsia="宋体" w:cs="Times New Roman"/>
      <w:kern w:val="0"/>
      <w:sz w:val="24"/>
      <w:szCs w:val="20"/>
    </w:rPr>
  </w:style>
  <w:style w:type="table" w:styleId="11">
    <w:name w:val="Table Grid"/>
    <w:basedOn w:val="10"/>
    <w:unhideWhenUse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12">
    <w:name w:val="标题 2 字符"/>
    <w:basedOn w:val="9"/>
    <w:link w:val="2"/>
    <w:uiPriority w:val="0"/>
    <w:rPr>
      <w:rFonts w:ascii="Arial" w:hAnsi="Arial" w:eastAsia="宋体"/>
      <w:b/>
    </w:rPr>
  </w:style>
  <w:style w:type="character" w:customStyle="1" w:styleId="13">
    <w:name w:val="标题 3 字符"/>
    <w:basedOn w:val="9"/>
    <w:link w:val="3"/>
    <w:uiPriority w:val="0"/>
    <w:rPr>
      <w:rFonts w:ascii="Times New Roman" w:hAnsi="Times New Roman" w:eastAsia="宋体"/>
      <w:b/>
    </w:rPr>
  </w:style>
  <w:style w:type="character" w:customStyle="1" w:styleId="14">
    <w:name w:val="正文文本 字符"/>
    <w:basedOn w:val="9"/>
    <w:link w:val="4"/>
    <w:qFormat/>
    <w:uiPriority w:val="0"/>
    <w:rPr>
      <w:rFonts w:ascii="Times New Roman" w:hAnsi="Times New Roman" w:eastAsia="方正仿宋简体" w:cs="Times New Roman"/>
      <w:sz w:val="32"/>
      <w:szCs w:val="20"/>
    </w:rPr>
  </w:style>
  <w:style w:type="character" w:customStyle="1" w:styleId="15">
    <w:name w:val="页眉 字符"/>
    <w:basedOn w:val="9"/>
    <w:link w:val="7"/>
    <w:uiPriority w:val="0"/>
    <w:rPr>
      <w:sz w:val="18"/>
    </w:rPr>
  </w:style>
  <w:style w:type="character" w:customStyle="1" w:styleId="16">
    <w:name w:val="页脚 字符"/>
    <w:basedOn w:val="9"/>
    <w:link w:val="6"/>
    <w:uiPriority w:val="99"/>
    <w:rPr>
      <w:kern w:val="2"/>
      <w:sz w:val="18"/>
      <w:szCs w:val="18"/>
    </w:rPr>
  </w:style>
  <w:style w:type="character" w:customStyle="1" w:styleId="17">
    <w:name w:val="批注框文本 字符"/>
    <w:basedOn w:val="9"/>
    <w:link w:val="5"/>
    <w:semiHidden/>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365</Words>
  <Characters>2082</Characters>
  <Lines>17</Lines>
  <Paragraphs>4</Paragraphs>
  <TotalTime>0</TotalTime>
  <ScaleCrop>false</ScaleCrop>
  <LinksUpToDate>false</LinksUpToDate>
  <CharactersWithSpaces>2443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2023-04-13T06:44:00Z</dcterms:created>
  <dc:creator>s c</dc:creator>
  <cp:lastModifiedBy>高玉锦</cp:lastModifiedBy>
  <dcterms:modified xsi:type="dcterms:W3CDTF">2023-04-20T09:29:07Z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2052-11.8.2.8053</vt:lpwstr>
  </property>
</Properties>
</file>