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年添益2007期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年添益2007期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TYG13M2007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Z7002220000025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2020年12月23日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620,831,109.23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100.48%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620,831,109.23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560,198,591.39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1.1082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1.1082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年添益2007期</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1.1078</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1.1078</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470,731,881.17</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年添益2007期B款</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1.1080</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1.1080</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51,882,667.15</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年添益2007期D款</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1.1103</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1.1103</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98,216,560.91</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年添益2007期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4.75</w:t>
            </w:r>
            <w:r>
              <w:rPr>
                <w:rFonts w:ascii="仿宋" w:eastAsia="仿宋" w:hAnsi="仿宋" w:cs="仿宋"/>
                <w:sz w:val="24"/>
              </w:rPr>
              <w:t>%</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年添益2007期B款</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4.76</w:t>
            </w:r>
            <w:r>
              <w:rPr>
                <w:rFonts w:ascii="仿宋" w:eastAsia="仿宋" w:hAnsi="仿宋" w:cs="仿宋"/>
                <w:sz w:val="24"/>
              </w:rPr>
              <w:t>%</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年添益2007期D款</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4.86</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1季度以来，利率债收益率震荡，信用债收益率整体下行，债市经历了对经济复苏的强预期到弱预期的修复。春节前，受疫情防控政策和房地产政策调整影响，市场对经济复苏预期强烈，春节后，信贷开门红，但市场对实体经济复苏存在较大分歧，理财赎回风波缓解后，银行理财对信用债配置带动信用债收益率大幅下行。3月后，两会设定的GDP增速目标低于市场预期，出口走弱，叠加3月底央行超预期降准，带动中短期债券收益率下行。从收益率来看，当前10年国债收益率2.87%，较年初小幅上行，当前3年期AA+城投债收益率3.23%，较年初下行40bp，当前3年期AAA二级资本债收益率3.28%，较年初下行8bp。本产品主要配置固收类资产，债券部分以信用债为主，同时为提高产品风险收益比，产品小部分配置权益性资产，受益于一季度信用债收益率大幅下行，权益资产震荡上行，产品净值收益表现较好。</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从基本面来看，无论从经济高频数据还是前瞻性数据来看，经济逐步复苏的态势仍在延续，从票据利率看银行信贷投放依然积极，消费、地产投资增速仍在修复过程中；从政策面来看，3月央行降准显示对银行间资金面市场的呵护，市场利率大概率围绕政策利率波动，短端债券收益率上行的空间有限。整体来说，经济弱复苏延续，货币政策保持相对宽松，债市流动性环境相对友好，后续理财规模增长情况、出口回落速度、货币政策是否会进一步宽松等将是影响2季度债市的重要变量。我们预期2季度债券收益率整体小幅波动。策略上，保持一定杠杆比例，适时把握利率债或者中高等级债券的阶段性交易机会。</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0.12%</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2.08%</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81.40%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9.64%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4.66%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0.14%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2.14%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83.43%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9.64%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4.66%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23南京滨江07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60,114,637.38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20南湖02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40,994,630.14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21温国01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30,962,219.18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30,715,109.59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22新开元PPN005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30,599,383.56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23晋能电力MTN003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30,259,232.88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22武建01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28,790,054.80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22文蓝01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20,683,287.67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22江宁交通PPN001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20,630,849.32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21涪新03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20,544,273.97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3.31%</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南京滨江投资发展有限公司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23南京滨江07</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20240221</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60,114,637.38</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900,189,941.38</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560,198,591.39</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22六合交通PPN001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20,346,579.45</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22六合交通PPN001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19,717,872.60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23南京滨江07</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60,000,000.00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60,000,000.00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254,648.13</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