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年添益2008期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年添益2008期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TYG13M2008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2021年1月20日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625,741,006.57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121.62%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625,741,006.57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574,441,382.81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1.0893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1.0893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年添益2008期</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1.0883</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1.0883</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308,477,420.32</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年添益2008期B款</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1.0883</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1.0883</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72,374,188.17</w:t>
            </w:r>
          </w:p>
        </w:tc>
      </w:tr>
      <w:tr w:rsidTr="00295335">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年添益2008期D款</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1.0907</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1.0907</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244,889,398.08</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年添益2008期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4.02</w:t>
            </w:r>
            <w:r>
              <w:rPr>
                <w:rFonts w:ascii="仿宋" w:eastAsia="仿宋" w:hAnsi="仿宋" w:cs="仿宋"/>
                <w:sz w:val="24"/>
              </w:rPr>
              <w:t>%</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年添益2008期B款</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4.02</w:t>
            </w:r>
            <w:r>
              <w:rPr>
                <w:rFonts w:ascii="仿宋" w:eastAsia="仿宋" w:hAnsi="仿宋" w:cs="仿宋"/>
                <w:sz w:val="24"/>
              </w:rPr>
              <w:t>%</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年添益2008期D款</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4.13</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产品主要投资于固收类资产，1月初疫后初开的情况下，债券收益有所反弹，随着摊余估值理财产品的发行、银行理财赎回负反馈逐步减弱。进入3月后，高频指标显示1-2月经济复苏程度不及预期，债券收益率小幅下行。整体看，一季度债券市场有所下行，信用债得益于利差压缩的优势，下行幅度大幅强于利率债。本产品债券策略上主要选择发达地区的城投债作为主要投资标的，并择机参与利率债波段交易增厚产品收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经济进入低基数阶段、经济指标读数料将大幅反弹，总量指标的意义会有所弱化，市场对于经济复苏的质量更为关注。基建端，在国债和地方债发行前置的的资金支持下，有望继续保持强势增长；制造业投资和进出口由于海外逐步进入衰退周期，已体现出较为疲弱的走势；房地产投资整体看竣工端在保交付及放松限购的政策支持下，3月恢复程度较好，但四月后前瞻指标有所下滑，趋势上在政策加持下有走好的趋势，是2季度值得重点关注的方面；消费方面，交通物流已脱离了疫情的影响，回归内生增长性，疫后红利期将于2季度结束，消费内生增长的质量将逐步显现。从债券收益率的角度看，短端利率在央行完全控制之下、难以形成趋势性的下行和上行，2年以内的信用利差已被压缩回历史较低水平，信用债进入票息行情中，是提升组合流动性的较好阶段，杠杆收益和骑乘收益是相对更优的投资策略。</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0.28%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64.86%</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12.49%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1.28%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21.09%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0.51%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2.18%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81.93%</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12.49%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1.61%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平安信托恒盈1号集合资金信托计划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100,576,483.44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23南通高新01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95,062,295.08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15.19%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21上虞债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52,693,205.48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21惠山高科PPN001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50,816,147.54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23雨花城投MTN001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50,278,155.74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22厦门市政MTN002(绿色)</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50,273,975.41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23武进经发SCP004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50,060,573.77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8.00%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19锡滨02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41,932,372.60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21江门高新MTN001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40,583,747.95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华润信托钱盈1号集合资金信托计划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40,081,008.93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6.41%</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134,073,479.44</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21.43%</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南通高新控股集团有限公司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23南通高新01</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20240318</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95,062,295.08</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1,685,035,682.41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574,441,382.81</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21智城开发PPN001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50,858,259.59</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23南通高新01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95,000,000.00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95,000,000.00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478,441.52</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