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年添益2109期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年添益2109期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TYG13M2109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2021年2月23日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1,170,115,298.41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100.60%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1,170,115,298.41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1,080,781,043.80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1.0826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1.0826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年添益2109期</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TYG13M2109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1.0822</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1.0822</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937,233,811.95</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年添益2109期D款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1.0844</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1.0844</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232,881,486.46</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年添益2109期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3.91</w:t>
            </w:r>
            <w:r>
              <w:rPr>
                <w:rFonts w:ascii="仿宋" w:eastAsia="仿宋" w:hAnsi="仿宋" w:cs="仿宋"/>
                <w:sz w:val="24"/>
              </w:rPr>
              <w:t>%</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年添益2109期D款</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4.02</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产品主要投资于固收类资产，1月初疫后初开的情况下，债券收益有所反弹，随着摊余估值理财产品的发行、银行理财赎回负反馈逐步减弱。进入3月后，高频指标显示1-2月经济复苏程度不及预期，债券收益率小幅下行。整体看，一季度债券市场有所下行，信用债得益于利差压缩的优势，下行幅度大幅强于利率债。本产品债券策略上主要选择发达地区的城投债作为主要投资标的，并择机参与利率债波段交易增厚产品收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经济进入低基数阶段、经济指标读数料将大幅反弹，总量指标的意义会有所弱化，市场对于经济复苏的质量更为关注。基建端，在国债和地方债发行前置的的资金支持下，有望继续保持强势增长；制造业投资和进出口由于海外逐步进入衰退周期，已体现出较为疲弱的走势；房地产投资整体看竣工端在保交付及放松限购的政策支持下，3月恢复程度较好，但四月后前瞻指标有所下滑，趋势上在政策加持下有走好的趋势，是2季度值得重点关注的方面；消费方面，交通物流已脱离了疫情的影响，回归内生增长性，疫后红利期将于2季度结束，消费内生增长的质量将逐步显现。从债券收益率的角度看，短端利率在央行完全控制之下、难以形成趋势性的下行和上行，2年以内的信用利差已被压缩回历史较低水平，信用债进入票息行情中，是提升组合流动性的较好阶段，杠杆收益和骑乘收益是相对更优的投资策略。</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0.22%</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6.97%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69.99%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1.24%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15.35%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0.49%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8.56%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77.75%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6.23%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5.73%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234,810,393.44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平安信托恒盈1号集合资金信托计划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100,576,483.44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23农发01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100,247,890.41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22宁海科创05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73,374,012.47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60,776,054.79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质押式逆回购(361760)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60,032,876.70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21进出03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51,910,698.63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21徐盛02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51,141,164.39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50,223,835.62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粤财信托·粤投保盈2号集合资金信托计划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50,125,000.00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4.28%</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宁海科创集团有限公司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22宁海科创05</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20230404</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73,374,012.47</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1,080,781,043.80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1,080,781,043.80</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21青山湖科MTN001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30,507,106.44</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